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83869">
      <w:pPr>
        <w:pStyle w:val="30"/>
        <w:framePr w:w="9639" w:h="624" w:hRule="exact" w:hSpace="181" w:vSpace="181" w:vAnchor="page" w:hAnchor="page" w:x="1279" w:y="3031"/>
        <w:rPr>
          <w:rFonts w:ascii="Times New Roman" w:eastAsia="黑体"/>
          <w:w w:val="110"/>
          <w:szCs w:val="52"/>
        </w:rPr>
      </w:pPr>
      <w:r>
        <w:rPr>
          <w:rFonts w:hint="eastAsia" w:ascii="Times New Roman" w:eastAsia="黑体"/>
          <w:w w:val="110"/>
          <w:szCs w:val="52"/>
        </w:rPr>
        <w:t>团体标准</w:t>
      </w:r>
    </w:p>
    <w:p w14:paraId="30FD0C0E">
      <w:pPr>
        <w:pBdr>
          <w:top w:val="none" w:color="auto" w:sz="0" w:space="0"/>
          <w:left w:val="none" w:color="auto" w:sz="0" w:space="0"/>
          <w:bottom w:val="none" w:color="auto" w:sz="0" w:space="0"/>
          <w:right w:val="none" w:color="auto" w:sz="0" w:space="0"/>
        </w:pBdr>
        <w:rPr>
          <w:rFonts w:ascii="Times New Roman" w:hAnsi="Times New Roman" w:eastAsia="黑体"/>
          <w:sz w:val="10"/>
          <w:szCs w:val="10"/>
        </w:rPr>
      </w:pPr>
      <w:r>
        <w:rPr>
          <w:sz w:val="28"/>
        </w:rPr>
        <mc:AlternateContent>
          <mc:Choice Requires="wps">
            <w:drawing>
              <wp:anchor distT="0" distB="0" distL="114300" distR="114300" simplePos="0" relativeHeight="251663360" behindDoc="0" locked="0" layoutInCell="1" allowOverlap="1">
                <wp:simplePos x="0" y="0"/>
                <wp:positionH relativeFrom="column">
                  <wp:posOffset>-1400810</wp:posOffset>
                </wp:positionH>
                <wp:positionV relativeFrom="paragraph">
                  <wp:posOffset>-604520</wp:posOffset>
                </wp:positionV>
                <wp:extent cx="914400" cy="470535"/>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A49C4F">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0.3pt;margin-top:-47.6pt;height:37.05pt;width:72pt;z-index:251663360;mso-width-relative:page;mso-height-relative:page;" filled="f" stroked="f" coordsize="21600,21600" o:gfxdata="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GhUumtwAAAAMAQAADwAAAAAAAAABACAAAAAiAAAAZHJz&#10;L2Rvd25yZXYueG1sUEsBAhQAFAAAAAgAh07iQAPIUeo5AgAAZQQAAA4AAAAAAAAAAQAgAAAAKwEA&#10;AGRycy9lMm9Eb2MueG1sUEsFBgAAAAAGAAYAWQEAANYFAAAAAA==&#10;">
                <v:fill on="f" focussize="0,0"/>
                <v:stroke on="f" weight="0.5pt"/>
                <v:imagedata o:title=""/>
                <o:lock v:ext="edit" aspectratio="f"/>
                <v:textbox>
                  <w:txbxContent>
                    <w:p w14:paraId="50A49C4F">
                      <w:pPr>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-739775</wp:posOffset>
                </wp:positionH>
                <wp:positionV relativeFrom="paragraph">
                  <wp:posOffset>-725805</wp:posOffset>
                </wp:positionV>
                <wp:extent cx="975360" cy="498475"/>
                <wp:effectExtent l="0" t="0" r="0" b="0"/>
                <wp:wrapNone/>
                <wp:docPr id="2" name="文本框 4"/>
                <wp:cNvGraphicFramePr/>
                <a:graphic xmlns:a="http://schemas.openxmlformats.org/drawingml/2006/main">
                  <a:graphicData uri="http://schemas.microsoft.com/office/word/2010/wordprocessingShape">
                    <wps:wsp>
                      <wps:cNvSpPr txBox="1"/>
                      <wps:spPr>
                        <a:xfrm>
                          <a:off x="0" y="0"/>
                          <a:ext cx="975360" cy="498475"/>
                        </a:xfrm>
                        <a:prstGeom prst="rect">
                          <a:avLst/>
                        </a:prstGeom>
                        <a:noFill/>
                        <a:ln w="6350">
                          <a:noFill/>
                        </a:ln>
                      </wps:spPr>
                      <wps:txbx>
                        <w:txbxContent>
                          <w:p w14:paraId="72FF15B7">
                            <w:pPr>
                              <w:rPr>
                                <w:rFonts w:ascii="Malgun Gothic" w:hAnsi="Malgun Gothic" w:eastAsia="方正公文小标宋" w:cs="Malgun Gothic"/>
                                <w:sz w:val="18"/>
                                <w:szCs w:val="18"/>
                              </w:rPr>
                            </w:pPr>
                            <w:r>
                              <w:rPr>
                                <w:rFonts w:hint="eastAsia" w:ascii="方正公文小标宋" w:hAnsi="方正公文小标宋" w:eastAsia="方正公文小标宋" w:cs="方正公文小标宋"/>
                                <w:b/>
                                <w:bCs/>
                                <w:sz w:val="18"/>
                                <w:szCs w:val="18"/>
                              </w:rPr>
                              <w:t xml:space="preserve">ICS  </w:t>
                            </w:r>
                            <w:r>
                              <w:rPr>
                                <w:rFonts w:hint="eastAsia" w:ascii="Malgun Gothic" w:hAnsi="Malgun Gothic" w:cs="Malgun Gothic"/>
                                <w:sz w:val="18"/>
                                <w:szCs w:val="18"/>
                              </w:rPr>
                              <w:t>XX</w:t>
                            </w:r>
                          </w:p>
                          <w:p w14:paraId="2E567EBE">
                            <w:pPr>
                              <w:rPr>
                                <w:rFonts w:ascii="Malgun Gothic" w:hAnsi="Malgun Gothic" w:eastAsia="方正公文小标宋" w:cs="Malgun Gothic"/>
                                <w:sz w:val="18"/>
                                <w:szCs w:val="18"/>
                              </w:rPr>
                            </w:pPr>
                            <w:r>
                              <w:rPr>
                                <w:rFonts w:hint="eastAsia" w:ascii="方正公文小标宋" w:hAnsi="方正公文小标宋" w:eastAsia="方正公文小标宋" w:cs="方正公文小标宋"/>
                                <w:b/>
                                <w:bCs/>
                                <w:sz w:val="18"/>
                                <w:szCs w:val="18"/>
                              </w:rPr>
                              <w:t xml:space="preserve">CCS  F  </w:t>
                            </w:r>
                            <w:r>
                              <w:rPr>
                                <w:rFonts w:hint="eastAsia" w:ascii="Malgun Gothic" w:hAnsi="Malgun Gothic" w:cs="Malgun Gothic"/>
                                <w:sz w:val="18"/>
                                <w:szCs w:val="18"/>
                              </w:rPr>
                              <w:t>XX</w:t>
                            </w:r>
                          </w:p>
                        </w:txbxContent>
                      </wps:txbx>
                      <wps:bodyPr wrap="square" upright="1"/>
                    </wps:wsp>
                  </a:graphicData>
                </a:graphic>
              </wp:anchor>
            </w:drawing>
          </mc:Choice>
          <mc:Fallback>
            <w:pict>
              <v:shape id="文本框 4" o:spid="_x0000_s1026" o:spt="202" type="#_x0000_t202" style="position:absolute;left:0pt;margin-left:-58.25pt;margin-top:-57.15pt;height:39.25pt;width:76.8pt;z-index:251660288;mso-width-relative:page;mso-height-relative:page;" filled="f" stroked="f" coordsize="21600,21600" o:gfxdata="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vmuDvcAAAADAEAAA8AAAAAAAAAAQAgAAAAIgAAAGRycy9kb3ducmV2&#10;LnhtbFBLAQIUABQAAAAIAIdO4kD2LolMvwEAAGQDAAAOAAAAAAAAAAEAIAAAACsBAABkcnMvZTJv&#10;RG9jLnhtbFBLBQYAAAAABgAGAFkBAABcBQAAAAA=&#10;">
                <v:fill on="f" focussize="0,0"/>
                <v:stroke on="f" weight="0.5pt"/>
                <v:imagedata o:title=""/>
                <o:lock v:ext="edit" aspectratio="f"/>
                <v:textbox>
                  <w:txbxContent>
                    <w:p w14:paraId="72FF15B7">
                      <w:pPr>
                        <w:rPr>
                          <w:rFonts w:ascii="Malgun Gothic" w:hAnsi="Malgun Gothic" w:eastAsia="方正公文小标宋" w:cs="Malgun Gothic"/>
                          <w:sz w:val="18"/>
                          <w:szCs w:val="18"/>
                        </w:rPr>
                      </w:pPr>
                      <w:r>
                        <w:rPr>
                          <w:rFonts w:hint="eastAsia" w:ascii="方正公文小标宋" w:hAnsi="方正公文小标宋" w:eastAsia="方正公文小标宋" w:cs="方正公文小标宋"/>
                          <w:b/>
                          <w:bCs/>
                          <w:sz w:val="18"/>
                          <w:szCs w:val="18"/>
                        </w:rPr>
                        <w:t xml:space="preserve">ICS  </w:t>
                      </w:r>
                      <w:r>
                        <w:rPr>
                          <w:rFonts w:hint="eastAsia" w:ascii="Malgun Gothic" w:hAnsi="Malgun Gothic" w:cs="Malgun Gothic"/>
                          <w:sz w:val="18"/>
                          <w:szCs w:val="18"/>
                        </w:rPr>
                        <w:t>XX</w:t>
                      </w:r>
                    </w:p>
                    <w:p w14:paraId="2E567EBE">
                      <w:pPr>
                        <w:rPr>
                          <w:rFonts w:ascii="Malgun Gothic" w:hAnsi="Malgun Gothic" w:eastAsia="方正公文小标宋" w:cs="Malgun Gothic"/>
                          <w:sz w:val="18"/>
                          <w:szCs w:val="18"/>
                        </w:rPr>
                      </w:pPr>
                      <w:r>
                        <w:rPr>
                          <w:rFonts w:hint="eastAsia" w:ascii="方正公文小标宋" w:hAnsi="方正公文小标宋" w:eastAsia="方正公文小标宋" w:cs="方正公文小标宋"/>
                          <w:b/>
                          <w:bCs/>
                          <w:sz w:val="18"/>
                          <w:szCs w:val="18"/>
                        </w:rPr>
                        <w:t xml:space="preserve">CCS  F  </w:t>
                      </w:r>
                      <w:r>
                        <w:rPr>
                          <w:rFonts w:hint="eastAsia" w:ascii="Malgun Gothic" w:hAnsi="Malgun Gothic" w:cs="Malgun Gothic"/>
                          <w:sz w:val="18"/>
                          <w:szCs w:val="18"/>
                        </w:rPr>
                        <w:t>XX</w:t>
                      </w:r>
                    </w:p>
                  </w:txbxContent>
                </v:textbox>
              </v:shape>
            </w:pict>
          </mc:Fallback>
        </mc:AlternateContent>
      </w:r>
      <w:r>
        <w:rPr>
          <w:position w:val="-22"/>
        </w:rPr>
        <w:drawing>
          <wp:anchor distT="0" distB="0" distL="0" distR="0" simplePos="0" relativeHeight="251661312" behindDoc="1" locked="0" layoutInCell="1" allowOverlap="1">
            <wp:simplePos x="0" y="0"/>
            <wp:positionH relativeFrom="column">
              <wp:posOffset>-452755</wp:posOffset>
            </wp:positionH>
            <wp:positionV relativeFrom="paragraph">
              <wp:posOffset>-17145</wp:posOffset>
            </wp:positionV>
            <wp:extent cx="714375" cy="714375"/>
            <wp:effectExtent l="0" t="0" r="9525" b="9525"/>
            <wp:wrapThrough wrapText="bothSides">
              <wp:wrapPolygon>
                <wp:start x="0" y="0"/>
                <wp:lineTo x="0" y="21120"/>
                <wp:lineTo x="21120" y="21120"/>
                <wp:lineTo x="21120" y="0"/>
                <wp:lineTo x="0" y="0"/>
              </wp:wrapPolygon>
            </wp:wrapThrough>
            <wp:docPr id="3" name="IM 2"/>
            <wp:cNvGraphicFramePr/>
            <a:graphic xmlns:a="http://schemas.openxmlformats.org/drawingml/2006/main">
              <a:graphicData uri="http://schemas.openxmlformats.org/drawingml/2006/picture">
                <pic:pic xmlns:pic="http://schemas.openxmlformats.org/drawingml/2006/picture">
                  <pic:nvPicPr>
                    <pic:cNvPr id="3" name="IM 2"/>
                    <pic:cNvPicPr/>
                  </pic:nvPicPr>
                  <pic:blipFill>
                    <a:blip r:embed="rId18"/>
                    <a:stretch>
                      <a:fillRect/>
                    </a:stretch>
                  </pic:blipFill>
                  <pic:spPr>
                    <a:xfrm>
                      <a:off x="0" y="0"/>
                      <a:ext cx="714375" cy="714375"/>
                    </a:xfrm>
                    <a:prstGeom prst="rect">
                      <a:avLst/>
                    </a:prstGeom>
                    <a:noFill/>
                    <a:ln>
                      <a:noFill/>
                    </a:ln>
                  </pic:spPr>
                </pic:pic>
              </a:graphicData>
            </a:graphic>
          </wp:anchor>
        </w:drawing>
      </w:r>
    </w:p>
    <w:p w14:paraId="3901D1A7">
      <w:pPr>
        <w:pStyle w:val="30"/>
        <w:framePr w:w="9639" w:h="6976" w:hRule="exact" w:hSpace="0" w:vSpace="0" w:vAnchor="text" w:hAnchor="page" w:y="6408"/>
        <w:jc w:val="center"/>
        <w:rPr>
          <w:rFonts w:ascii="Times New Roman" w:eastAsia="黑体"/>
          <w:b w:val="0"/>
          <w:bCs w:val="0"/>
          <w:w w:val="100"/>
        </w:rPr>
      </w:pPr>
    </w:p>
    <w:p w14:paraId="026FDD2C">
      <w:pPr>
        <w:pStyle w:val="34"/>
        <w:framePr w:h="5785" w:hRule="exact" w:wrap="around" w:x="879" w:y="6613" w:anchorLock="1"/>
        <w:outlineLvl w:val="0"/>
        <w:rPr>
          <w:rFonts w:hint="eastAsia" w:ascii="Times New Roman" w:hAnsi="Times New Roman"/>
        </w:rPr>
      </w:pPr>
      <w:r>
        <w:rPr>
          <w:rFonts w:hint="eastAsia" w:ascii="Times New Roman" w:hAnsi="Times New Roman"/>
        </w:rPr>
        <w:t xml:space="preserve">电力建设全过程工程咨询导则 </w:t>
      </w:r>
    </w:p>
    <w:p w14:paraId="6C63BCE2">
      <w:pPr>
        <w:pStyle w:val="34"/>
        <w:framePr w:h="5785" w:hRule="exact" w:wrap="around" w:x="879" w:y="6613" w:anchorLock="1"/>
        <w:outlineLvl w:val="0"/>
        <w:rPr>
          <w:rFonts w:ascii="Times New Roman" w:hAnsi="Times New Roman"/>
        </w:rPr>
      </w:pPr>
      <w:r>
        <w:rPr>
          <w:rFonts w:hint="eastAsia" w:ascii="Times New Roman" w:hAnsi="Times New Roman"/>
        </w:rPr>
        <w:t>第4部分:光伏发电工程</w:t>
      </w:r>
    </w:p>
    <w:p w14:paraId="241B6017">
      <w:pPr>
        <w:pStyle w:val="35"/>
        <w:framePr w:w="9639" w:h="5785" w:hRule="exact" w:wrap="around" w:vAnchor="page" w:hAnchor="page" w:x="879" w:y="6613" w:anchorLock="1"/>
        <w:textAlignment w:val="bottom"/>
        <w:rPr>
          <w:rFonts w:hint="eastAsia" w:eastAsia="黑体"/>
          <w:b/>
          <w:bCs/>
          <w:szCs w:val="28"/>
        </w:rPr>
      </w:pPr>
    </w:p>
    <w:p w14:paraId="67E85777">
      <w:pPr>
        <w:pStyle w:val="35"/>
        <w:framePr w:w="9639" w:h="5785" w:hRule="exact" w:wrap="around" w:vAnchor="page" w:hAnchor="page" w:x="879" w:y="6613" w:anchorLock="1"/>
        <w:textAlignment w:val="bottom"/>
        <w:rPr>
          <w:rFonts w:hint="eastAsia" w:eastAsia="黑体"/>
          <w:b/>
          <w:bCs/>
          <w:szCs w:val="28"/>
        </w:rPr>
      </w:pPr>
      <w:r>
        <w:rPr>
          <w:rFonts w:hint="eastAsia" w:eastAsia="黑体"/>
          <w:b/>
          <w:bCs/>
          <w:szCs w:val="28"/>
        </w:rPr>
        <w:t>Guidelines</w:t>
      </w:r>
      <w:r>
        <w:rPr>
          <w:rFonts w:hint="eastAsia" w:eastAsia="黑体"/>
          <w:b/>
          <w:bCs/>
          <w:szCs w:val="28"/>
          <w:lang w:val="en-US" w:eastAsia="zh-CN"/>
        </w:rPr>
        <w:t xml:space="preserve"> </w:t>
      </w:r>
      <w:r>
        <w:rPr>
          <w:rFonts w:hint="eastAsia" w:eastAsia="黑体"/>
          <w:b/>
          <w:bCs/>
          <w:szCs w:val="28"/>
        </w:rPr>
        <w:t>for</w:t>
      </w:r>
      <w:r>
        <w:rPr>
          <w:rFonts w:hint="eastAsia" w:eastAsia="黑体"/>
          <w:b/>
          <w:bCs/>
          <w:szCs w:val="28"/>
          <w:lang w:val="en-US" w:eastAsia="zh-CN"/>
        </w:rPr>
        <w:t xml:space="preserve"> </w:t>
      </w:r>
      <w:r>
        <w:rPr>
          <w:rFonts w:hint="eastAsia" w:eastAsia="黑体"/>
          <w:b/>
          <w:bCs/>
          <w:szCs w:val="28"/>
        </w:rPr>
        <w:t>the</w:t>
      </w:r>
      <w:r>
        <w:rPr>
          <w:rFonts w:hint="eastAsia" w:eastAsia="黑体"/>
          <w:b/>
          <w:bCs/>
          <w:szCs w:val="28"/>
          <w:lang w:val="en-US" w:eastAsia="zh-CN"/>
        </w:rPr>
        <w:t xml:space="preserve"> </w:t>
      </w:r>
      <w:r>
        <w:rPr>
          <w:rFonts w:hint="eastAsia" w:eastAsia="黑体"/>
          <w:b/>
          <w:bCs/>
          <w:szCs w:val="28"/>
        </w:rPr>
        <w:t>whole</w:t>
      </w:r>
      <w:r>
        <w:rPr>
          <w:rFonts w:hint="eastAsia" w:eastAsia="黑体"/>
          <w:b/>
          <w:bCs/>
          <w:szCs w:val="28"/>
          <w:lang w:val="en-US" w:eastAsia="zh-CN"/>
        </w:rPr>
        <w:t xml:space="preserve"> </w:t>
      </w:r>
      <w:r>
        <w:rPr>
          <w:rFonts w:hint="eastAsia" w:eastAsia="黑体"/>
          <w:b/>
          <w:bCs/>
          <w:szCs w:val="28"/>
        </w:rPr>
        <w:t>process</w:t>
      </w:r>
      <w:r>
        <w:rPr>
          <w:rFonts w:hint="eastAsia" w:eastAsia="黑体"/>
          <w:b/>
          <w:bCs/>
          <w:szCs w:val="28"/>
          <w:lang w:val="en-US" w:eastAsia="zh-CN"/>
        </w:rPr>
        <w:t xml:space="preserve"> </w:t>
      </w:r>
      <w:r>
        <w:rPr>
          <w:rFonts w:hint="eastAsia" w:eastAsia="黑体"/>
          <w:b/>
          <w:bCs/>
          <w:szCs w:val="28"/>
        </w:rPr>
        <w:t>engineering</w:t>
      </w:r>
      <w:r>
        <w:rPr>
          <w:rFonts w:hint="eastAsia" w:eastAsia="黑体"/>
          <w:b/>
          <w:bCs/>
          <w:szCs w:val="28"/>
          <w:lang w:val="en-US" w:eastAsia="zh-CN"/>
        </w:rPr>
        <w:t xml:space="preserve"> </w:t>
      </w:r>
      <w:r>
        <w:rPr>
          <w:rFonts w:hint="eastAsia" w:eastAsia="黑体"/>
          <w:b/>
          <w:bCs/>
          <w:szCs w:val="28"/>
        </w:rPr>
        <w:t>consulting</w:t>
      </w:r>
      <w:r>
        <w:rPr>
          <w:rFonts w:hint="eastAsia" w:eastAsia="黑体"/>
          <w:b/>
          <w:bCs/>
          <w:szCs w:val="28"/>
          <w:lang w:val="en-US" w:eastAsia="zh-CN"/>
        </w:rPr>
        <w:t xml:space="preserve"> </w:t>
      </w:r>
      <w:r>
        <w:rPr>
          <w:rFonts w:hint="eastAsia" w:eastAsia="黑体"/>
          <w:b/>
          <w:bCs/>
          <w:szCs w:val="28"/>
        </w:rPr>
        <w:t>service</w:t>
      </w:r>
      <w:r>
        <w:rPr>
          <w:rFonts w:hint="eastAsia" w:eastAsia="黑体"/>
          <w:b/>
          <w:bCs/>
          <w:szCs w:val="28"/>
          <w:lang w:val="en-US" w:eastAsia="zh-CN"/>
        </w:rPr>
        <w:t xml:space="preserve"> </w:t>
      </w:r>
      <w:r>
        <w:rPr>
          <w:rFonts w:hint="eastAsia" w:eastAsia="黑体"/>
          <w:b/>
          <w:bCs/>
          <w:szCs w:val="28"/>
        </w:rPr>
        <w:t>of</w:t>
      </w:r>
    </w:p>
    <w:p w14:paraId="3789965E">
      <w:pPr>
        <w:pStyle w:val="35"/>
        <w:framePr w:w="9639" w:h="5785" w:hRule="exact" w:wrap="around" w:vAnchor="page" w:hAnchor="page" w:x="879" w:y="6613" w:anchorLock="1"/>
        <w:textAlignment w:val="bottom"/>
        <w:rPr>
          <w:rFonts w:eastAsia="黑体"/>
          <w:b/>
          <w:bCs/>
          <w:szCs w:val="28"/>
        </w:rPr>
      </w:pPr>
      <w:r>
        <w:rPr>
          <w:rFonts w:hint="eastAsia" w:eastAsia="黑体"/>
          <w:b/>
          <w:bCs/>
          <w:szCs w:val="28"/>
        </w:rPr>
        <w:t>Power</w:t>
      </w:r>
      <w:r>
        <w:rPr>
          <w:rFonts w:hint="eastAsia" w:eastAsia="黑体"/>
          <w:b/>
          <w:bCs/>
          <w:szCs w:val="28"/>
          <w:lang w:val="en-US" w:eastAsia="zh-CN"/>
        </w:rPr>
        <w:t xml:space="preserve"> </w:t>
      </w:r>
      <w:r>
        <w:rPr>
          <w:rFonts w:hint="eastAsia" w:eastAsia="黑体"/>
          <w:b/>
          <w:bCs/>
          <w:szCs w:val="28"/>
        </w:rPr>
        <w:t>engineering</w:t>
      </w:r>
      <w:r>
        <w:rPr>
          <w:rFonts w:hint="eastAsia" w:eastAsia="黑体"/>
          <w:b/>
          <w:bCs/>
          <w:szCs w:val="28"/>
          <w:lang w:val="en-US" w:eastAsia="zh-CN"/>
        </w:rPr>
        <w:t xml:space="preserve"> </w:t>
      </w:r>
      <w:r>
        <w:rPr>
          <w:rFonts w:hint="eastAsia" w:eastAsia="黑体"/>
          <w:b/>
          <w:bCs/>
          <w:szCs w:val="28"/>
        </w:rPr>
        <w:t>construction—Part</w:t>
      </w:r>
      <w:r>
        <w:rPr>
          <w:rFonts w:hint="eastAsia" w:eastAsia="黑体"/>
          <w:b/>
          <w:bCs/>
          <w:szCs w:val="28"/>
          <w:lang w:val="en-US" w:eastAsia="zh-CN"/>
        </w:rPr>
        <w:t>4</w:t>
      </w:r>
      <w:r>
        <w:rPr>
          <w:rFonts w:hint="eastAsia" w:eastAsia="黑体"/>
          <w:b/>
          <w:bCs/>
          <w:szCs w:val="28"/>
        </w:rPr>
        <w:t>: Photovoltaic power project</w:t>
      </w:r>
    </w:p>
    <w:p w14:paraId="3463DC26">
      <w:pPr>
        <w:framePr w:w="9639" w:h="5785" w:hRule="exact" w:wrap="around" w:vAnchor="page" w:hAnchor="page" w:x="879" w:y="6613" w:anchorLock="1"/>
        <w:spacing w:line="760" w:lineRule="exact"/>
        <w:ind w:left="-1418"/>
        <w:rPr>
          <w:rFonts w:ascii="Times New Roman" w:hAnsi="Times New Roman"/>
          <w:highlight w:val="yellow"/>
        </w:rPr>
      </w:pPr>
    </w:p>
    <w:p w14:paraId="5D430CA2">
      <w:pPr>
        <w:pStyle w:val="35"/>
        <w:framePr w:w="9639" w:h="5785" w:hRule="exact" w:wrap="around" w:vAnchor="page" w:hAnchor="page" w:x="879" w:y="6613" w:anchorLock="1"/>
        <w:textAlignment w:val="bottom"/>
        <w:rPr>
          <w:rFonts w:eastAsia="黑体"/>
          <w:szCs w:val="28"/>
        </w:rPr>
      </w:pPr>
    </w:p>
    <w:p w14:paraId="3F98D583">
      <w:pPr>
        <w:pStyle w:val="35"/>
        <w:framePr w:w="9639" w:h="5785" w:hRule="exact" w:wrap="around" w:vAnchor="page" w:hAnchor="page" w:x="879" w:y="6613" w:anchorLock="1"/>
        <w:spacing w:before="440" w:after="160"/>
        <w:textAlignment w:val="bottom"/>
        <w:rPr>
          <w:rFonts w:hint="eastAsia"/>
          <w:sz w:val="24"/>
          <w:szCs w:val="28"/>
          <w:lang w:eastAsia="zh"/>
        </w:rPr>
      </w:pPr>
    </w:p>
    <w:p w14:paraId="5A76089D">
      <w:pPr>
        <w:pStyle w:val="35"/>
        <w:framePr w:w="9639" w:h="5785" w:hRule="exact" w:wrap="around" w:vAnchor="page" w:hAnchor="page" w:x="879" w:y="6613" w:anchorLock="1"/>
        <w:spacing w:before="180" w:line="240" w:lineRule="atLeast"/>
        <w:textAlignment w:val="bottom"/>
        <w:rPr>
          <w:sz w:val="21"/>
          <w:szCs w:val="28"/>
        </w:rPr>
      </w:pPr>
      <w:r>
        <w:rPr>
          <w:szCs w:val="28"/>
        </w:rPr>
        <w:fldChar w:fldCharType="begin">
          <w:ffData>
            <w:name w:val="CMPLSH_DATE"/>
            <w:enabled/>
            <w:calcOnExit w:val="0"/>
            <w:textInput/>
          </w:ffData>
        </w:fldChar>
      </w:r>
      <w:bookmarkStart w:id="0" w:name="CMPLSH_DATE"/>
      <w:r>
        <w:rPr>
          <w:szCs w:val="28"/>
        </w:rPr>
        <w:instrText xml:space="preserve"> FORMTEXT </w:instrText>
      </w:r>
      <w:r>
        <w:rPr>
          <w:szCs w:val="28"/>
        </w:rPr>
        <w:fldChar w:fldCharType="separate"/>
      </w:r>
      <w:r>
        <w:rPr>
          <w:rFonts w:hint="eastAsia"/>
          <w:szCs w:val="28"/>
        </w:rPr>
        <w:t>（征求意见稿）</w:t>
      </w:r>
      <w:r>
        <w:rPr>
          <w:szCs w:val="28"/>
        </w:rPr>
        <w:t>    </w:t>
      </w:r>
      <w:r>
        <w:rPr>
          <w:szCs w:val="28"/>
        </w:rPr>
        <w:fldChar w:fldCharType="end"/>
      </w:r>
      <w:bookmarkEnd w:id="0"/>
    </w:p>
    <w:p w14:paraId="6B714DDE">
      <w:pPr>
        <w:pStyle w:val="35"/>
        <w:framePr w:w="9639" w:h="5785" w:hRule="exact" w:wrap="around" w:vAnchor="page" w:hAnchor="page" w:x="879" w:y="6613" w:anchorLock="1"/>
        <w:spacing w:before="954" w:beforeLines="300" w:after="95"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 w:name="下拉2"/>
      <w:r>
        <w:rPr>
          <w:b/>
          <w:sz w:val="21"/>
          <w:szCs w:val="28"/>
        </w:rPr>
        <w:instrText xml:space="preserve"> FORMDROPDOWN </w:instrText>
      </w:r>
      <w:r>
        <w:rPr>
          <w:b/>
          <w:sz w:val="21"/>
          <w:szCs w:val="28"/>
        </w:rPr>
        <w:fldChar w:fldCharType="separate"/>
      </w:r>
      <w:r>
        <w:rPr>
          <w:b/>
          <w:sz w:val="21"/>
          <w:szCs w:val="28"/>
        </w:rPr>
        <w:fldChar w:fldCharType="end"/>
      </w:r>
      <w:bookmarkEnd w:id="1"/>
    </w:p>
    <w:p w14:paraId="4E0A6123">
      <w:pPr>
        <w:pStyle w:val="36"/>
        <w:framePr w:y="14176"/>
      </w:pPr>
      <w:r>
        <w:rPr>
          <w:rFonts w:hint="eastAsia"/>
          <w:b/>
          <w:bCs/>
        </w:rPr>
        <w:t>2026</w:t>
      </w:r>
      <w:r>
        <w:rPr>
          <w:b/>
          <w:bCs/>
        </w:rPr>
        <w:t xml:space="preserve"> - </w:t>
      </w:r>
      <w:r>
        <w:rPr>
          <w:rFonts w:hint="eastAsia"/>
          <w:b/>
          <w:bCs/>
        </w:rPr>
        <w:t>XX</w:t>
      </w:r>
      <w:r>
        <w:rPr>
          <w:b/>
          <w:bCs/>
        </w:rPr>
        <w:t xml:space="preserve"> - </w:t>
      </w:r>
      <w:r>
        <w:rPr>
          <w:rFonts w:hint="eastAsia"/>
          <w:b/>
          <w:bCs/>
        </w:rPr>
        <w:t>XX 发布</w:t>
      </w:r>
    </w:p>
    <w:p w14:paraId="37443CAB">
      <w:pPr>
        <w:pStyle w:val="36"/>
        <w:framePr w:y="14176"/>
        <w:ind w:left="5250"/>
      </w:pPr>
      <w:r>
        <w:t xml:space="preserve"> - </w:t>
      </w:r>
      <w:r>
        <w:fldChar w:fldCharType="begin">
          <w:ffData>
            <w:name w:val="PLSH_DATE_M"/>
            <w:enabled/>
            <w:calcOnExit w:val="0"/>
            <w:textInput>
              <w:default w:val="XX"/>
              <w:maxLength w:val="2"/>
            </w:textInput>
          </w:ffData>
        </w:fldChar>
      </w:r>
      <w:bookmarkStart w:id="2" w:name="PLSH_DATE_M"/>
      <w:r>
        <w:instrText xml:space="preserve"> FORMTEXT </w:instrText>
      </w:r>
      <w:r>
        <w:fldChar w:fldCharType="separate"/>
      </w:r>
      <w:r>
        <w:t>XX</w:t>
      </w:r>
      <w:r>
        <w:fldChar w:fldCharType="end"/>
      </w:r>
      <w:bookmarkEnd w:id="2"/>
      <w:r>
        <w:t xml:space="preserve"> - </w:t>
      </w:r>
      <w:r>
        <w:fldChar w:fldCharType="begin">
          <w:ffData>
            <w:name w:val="PLSH_DATE_D"/>
            <w:enabled/>
            <w:calcOnExit w:val="0"/>
            <w:textInput>
              <w:default w:val="XX"/>
              <w:maxLength w:val="2"/>
            </w:textInput>
          </w:ffData>
        </w:fldChar>
      </w:r>
      <w:bookmarkStart w:id="3" w:name="PLSH_DATE_D"/>
      <w:r>
        <w:instrText xml:space="preserve"> FORMTEXT </w:instrText>
      </w:r>
      <w:r>
        <w:fldChar w:fldCharType="separate"/>
      </w:r>
      <w:r>
        <w:t>XX</w:t>
      </w:r>
      <w:r>
        <w:fldChar w:fldCharType="end"/>
      </w:r>
      <w:bookmarkEnd w:id="3"/>
      <w:r>
        <w:rPr>
          <w:rFonts w:hint="eastAsia"/>
        </w:rPr>
        <w:t>发布</w:t>
      </w:r>
    </w:p>
    <w:p w14:paraId="20355259">
      <w:pPr>
        <w:pStyle w:val="37"/>
        <w:framePr w:y="14176"/>
        <w:rPr>
          <w:b/>
          <w:bCs/>
        </w:rPr>
      </w:pPr>
      <w:r>
        <w:rPr>
          <w:rFonts w:hint="eastAsia"/>
          <w:b/>
          <w:bCs/>
        </w:rPr>
        <w:t>20XX</w:t>
      </w:r>
      <w:r>
        <w:rPr>
          <w:b/>
          <w:bCs/>
        </w:rPr>
        <w:t xml:space="preserve"> - </w:t>
      </w:r>
      <w:r>
        <w:rPr>
          <w:rFonts w:hint="eastAsia"/>
          <w:b/>
          <w:bCs/>
        </w:rPr>
        <w:t>XX</w:t>
      </w:r>
      <w:r>
        <w:rPr>
          <w:b/>
          <w:bCs/>
        </w:rPr>
        <w:t xml:space="preserve"> - </w:t>
      </w:r>
      <w:r>
        <w:rPr>
          <w:rFonts w:hint="eastAsia"/>
          <w:b/>
          <w:bCs/>
        </w:rPr>
        <w:t>XX 实施</w:t>
      </w:r>
    </w:p>
    <w:p w14:paraId="30CEAC24">
      <w:pPr>
        <w:pStyle w:val="38"/>
        <w:framePr w:h="1084" w:hRule="exact" w:hSpace="181" w:vSpace="181" w:vAnchor="page" w:hAnchor="page" w:x="2487" w:y="15227"/>
        <w:rPr>
          <w:rFonts w:ascii="Times New Roman"/>
          <w:b/>
          <w:bCs/>
          <w:w w:val="100"/>
          <w:sz w:val="28"/>
        </w:rPr>
      </w:pPr>
      <w:r>
        <w:rPr>
          <w:rFonts w:hint="eastAsia" w:ascii="Times New Roman"/>
          <w:b/>
          <w:bCs/>
          <w:w w:val="100"/>
          <w:sz w:val="28"/>
        </w:rPr>
        <w:t>中国电力建设企业协会         发 布</w:t>
      </w:r>
    </w:p>
    <w:p w14:paraId="20C537FB">
      <w:pPr>
        <w:pStyle w:val="38"/>
        <w:framePr w:h="1084" w:hRule="exact" w:hSpace="181" w:vSpace="181" w:vAnchor="page" w:hAnchor="page" w:x="2487" w:y="15227"/>
        <w:rPr>
          <w:rStyle w:val="39"/>
          <w:rFonts w:hint="eastAsia" w:ascii="Times New Roman"/>
          <w:lang w:eastAsia="zh"/>
        </w:rPr>
      </w:pPr>
    </w:p>
    <w:p w14:paraId="7EFF3BA8">
      <w:pPr>
        <w:pStyle w:val="38"/>
        <w:framePr w:h="1084" w:hRule="exact" w:hSpace="181" w:vSpace="181" w:vAnchor="page" w:hAnchor="page" w:x="2487" w:y="15227"/>
        <w:rPr>
          <w:rFonts w:ascii="Times New Roman"/>
        </w:rPr>
      </w:pPr>
    </w:p>
    <w:p w14:paraId="4DF21335">
      <w:pPr>
        <w:pStyle w:val="12"/>
        <w:jc w:val="center"/>
        <w:rPr>
          <w:rFonts w:ascii="Times New Roman" w:hAnsi="Times New Roman" w:eastAsia="黑体"/>
          <w:sz w:val="28"/>
          <w:szCs w:val="28"/>
        </w:rPr>
      </w:pPr>
    </w:p>
    <w:p w14:paraId="36EBCA2B">
      <w:pPr>
        <w:pStyle w:val="31"/>
        <w:framePr w:x="1339" w:y="4487"/>
        <w:ind w:firstLine="560"/>
        <w:rPr>
          <w:rFonts w:hint="eastAsia" w:ascii="Times New Roman" w:eastAsia="方正小标宋_GBK" w:cs="方正小标宋_GBK"/>
        </w:rPr>
      </w:pPr>
      <w:r>
        <w:rPr>
          <w:rFonts w:hint="eastAsia" w:ascii="Times New Roman" w:eastAsia="方正小标宋_GBK" w:cs="方正小标宋_GBK"/>
        </w:rPr>
        <w:t>T/CEPCA XXXX-2026</w:t>
      </w:r>
    </w:p>
    <w:p w14:paraId="54924FC9">
      <w:pPr>
        <w:pStyle w:val="33"/>
        <w:framePr w:x="1339" w:y="4487"/>
        <w:ind w:firstLine="420"/>
        <w:rPr>
          <w:rFonts w:ascii="Times New Roman"/>
        </w:rPr>
      </w:pPr>
    </w:p>
    <w:p w14:paraId="1ACD68A3">
      <w:pPr>
        <w:pStyle w:val="33"/>
        <w:framePr w:x="1339" w:y="4487"/>
        <w:ind w:firstLine="420"/>
        <w:rPr>
          <w:rFonts w:ascii="Times New Roman"/>
        </w:rPr>
      </w:pPr>
    </w:p>
    <w:p w14:paraId="6206E026">
      <w:pPr>
        <w:pStyle w:val="14"/>
        <w:tabs>
          <w:tab w:val="right" w:leader="dot" w:pos="8302"/>
        </w:tabs>
        <w:jc w:val="center"/>
        <w:rPr>
          <w:rFonts w:ascii="Times New Roman" w:hAnsi="Times New Roman" w:cs="宋体"/>
          <w:b/>
          <w:sz w:val="32"/>
          <w:szCs w:val="32"/>
        </w:rPr>
        <w:sectPr>
          <w:pgSz w:w="11906" w:h="16838"/>
          <w:pgMar w:top="1440" w:right="1797" w:bottom="1440" w:left="1797" w:header="851" w:footer="850" w:gutter="0"/>
          <w:pgNumType w:fmt="upperRoman" w:start="0"/>
          <w:cols w:space="720" w:num="1"/>
          <w:docGrid w:type="lines" w:linePitch="318" w:charSpace="0"/>
        </w:sectPr>
      </w:pPr>
      <w:bookmarkStart w:id="412" w:name="_GoBack"/>
      <w:bookmarkEnd w:id="412"/>
      <w:r>
        <mc:AlternateContent>
          <mc:Choice Requires="wps">
            <w:drawing>
              <wp:anchor distT="0" distB="0" distL="114300" distR="114300" simplePos="0" relativeHeight="251662336" behindDoc="0" locked="0" layoutInCell="1" allowOverlap="0">
                <wp:simplePos x="0" y="0"/>
                <wp:positionH relativeFrom="page">
                  <wp:posOffset>716915</wp:posOffset>
                </wp:positionH>
                <wp:positionV relativeFrom="page">
                  <wp:posOffset>3462655</wp:posOffset>
                </wp:positionV>
                <wp:extent cx="6120130" cy="0"/>
                <wp:effectExtent l="0" t="4445" r="0" b="5080"/>
                <wp:wrapNone/>
                <wp:docPr id="4" name="直接连接符 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接连接符 8" o:spid="_x0000_s1026" o:spt="20" style="position:absolute;left:0pt;margin-left:56.45pt;margin-top:272.65pt;height:0pt;width:481.9pt;mso-position-horizontal-relative:page;mso-position-vertical-relative:page;z-index:251662336;mso-width-relative:page;mso-height-relative:page;" filled="f" stroked="t" coordsize="21600,21600" o:allowoverlap="f" o:gfxdata="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VY0ol2AAAAAwBAAAPAAAAAAAAAAEAIAAAACIAAABkcnMvZG93bnJldi54bWxQSwEC&#10;FAAUAAAACACHTuJAlxEusfQBAADkAwAADgAAAAAAAAABACAAAAAnAQAAZHJzL2Uyb0RvYy54bWxQ&#10;SwUGAAAAAAYABgBZAQAAjQ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9481185</wp:posOffset>
                </wp:positionV>
                <wp:extent cx="6120130"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0.9pt;margin-top:746.55pt;height:0pt;width:481.9pt;mso-position-horizontal-relative:page;mso-position-vertical-relative:page;z-index:251659264;mso-width-relative:page;mso-height-relative:page;" filled="f" stroked="t" coordsize="21600,21600" o:allowoverlap="f" o:gfxdata="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Rn3B9cAAAAOAQAADwAAAAAAAAABACAAAAAiAAAAZHJzL2Rvd25yZXYueG1sUEsBAhQA&#10;FAAAAAgAh07iQIvehS/zAQAA5AMAAA4AAAAAAAAAAQAgAAAAJgEAAGRycy9lMm9Eb2MueG1sUEsF&#10;BgAAAAAGAAYAWQEAAIsFAAAAAA==&#10;">
                <v:fill on="f" focussize="0,0"/>
                <v:stroke color="#000000" joinstyle="round"/>
                <v:imagedata o:title=""/>
                <o:lock v:ext="edit" aspectratio="f"/>
              </v:line>
            </w:pict>
          </mc:Fallback>
        </mc:AlternateContent>
      </w:r>
    </w:p>
    <w:p w14:paraId="6AB24067">
      <w:pPr>
        <w:pStyle w:val="61"/>
        <w:spacing w:after="360"/>
        <w:rPr>
          <w:color w:val="000000"/>
        </w:rPr>
      </w:pPr>
      <w:bookmarkStart w:id="4" w:name="_Toc155714259"/>
      <w:bookmarkStart w:id="5" w:name="BookMark1"/>
      <w:bookmarkStart w:id="6" w:name="_Toc155628700"/>
      <w:bookmarkStart w:id="7" w:name="_Toc155604539"/>
      <w:bookmarkStart w:id="8" w:name="_Toc155714319"/>
      <w:bookmarkStart w:id="9" w:name="_Toc155628763"/>
      <w:r>
        <w:rPr>
          <w:rFonts w:hint="eastAsia"/>
          <w:color w:val="000000"/>
          <w:spacing w:val="320"/>
        </w:rPr>
        <w:t>目</w:t>
      </w:r>
      <w:r>
        <w:rPr>
          <w:rFonts w:hint="eastAsia"/>
          <w:color w:val="000000"/>
        </w:rPr>
        <w:t>次</w:t>
      </w:r>
    </w:p>
    <w:p w14:paraId="009BE2D3">
      <w:pPr>
        <w:pStyle w:val="14"/>
        <w:tabs>
          <w:tab w:val="right" w:leader="dot" w:pos="9354"/>
        </w:tabs>
      </w:pPr>
      <w:r>
        <w:rPr>
          <w:color w:val="000000"/>
        </w:rPr>
        <w:fldChar w:fldCharType="begin"/>
      </w:r>
      <w:r>
        <w:rPr>
          <w:color w:val="000000"/>
        </w:rPr>
        <w:instrText xml:space="preserve"> TOC \o "1-1" \h \t "标准文件_一级条标题,2,标准文件_附录一级条标题,2," </w:instrText>
      </w:r>
      <w:r>
        <w:rPr>
          <w:color w:val="000000"/>
        </w:rPr>
        <w:fldChar w:fldCharType="separate"/>
      </w:r>
      <w:r>
        <w:rPr>
          <w:color w:val="000000"/>
        </w:rPr>
        <w:fldChar w:fldCharType="begin"/>
      </w:r>
      <w:r>
        <w:instrText xml:space="preserve"> HYPERLINK \l _Toc18212 </w:instrText>
      </w:r>
      <w:r>
        <w:fldChar w:fldCharType="separate"/>
      </w:r>
      <w:r>
        <w:rPr>
          <w:spacing w:val="320"/>
        </w:rPr>
        <w:t>前</w:t>
      </w:r>
      <w:r>
        <w:t>言</w:t>
      </w:r>
      <w:r>
        <w:tab/>
      </w:r>
      <w:r>
        <w:fldChar w:fldCharType="begin"/>
      </w:r>
      <w:r>
        <w:instrText xml:space="preserve"> PAGEREF _Toc18212 \h </w:instrText>
      </w:r>
      <w:r>
        <w:fldChar w:fldCharType="separate"/>
      </w:r>
      <w:r>
        <w:t>IV</w:t>
      </w:r>
      <w:r>
        <w:fldChar w:fldCharType="end"/>
      </w:r>
      <w:r>
        <w:rPr>
          <w:color w:val="000000"/>
        </w:rPr>
        <w:fldChar w:fldCharType="end"/>
      </w:r>
    </w:p>
    <w:p w14:paraId="4B632247">
      <w:pPr>
        <w:pStyle w:val="14"/>
        <w:tabs>
          <w:tab w:val="right" w:leader="dot" w:pos="9354"/>
        </w:tabs>
      </w:pPr>
      <w:r>
        <w:rPr>
          <w:color w:val="000000"/>
        </w:rPr>
        <w:fldChar w:fldCharType="begin"/>
      </w:r>
      <w:r>
        <w:instrText xml:space="preserve"> HYPERLINK \l _Toc5878 </w:instrText>
      </w:r>
      <w:r>
        <w:fldChar w:fldCharType="separate"/>
      </w:r>
      <w:r>
        <w:rPr>
          <w:spacing w:val="320"/>
        </w:rPr>
        <w:t>引</w:t>
      </w:r>
      <w:r>
        <w:t>言</w:t>
      </w:r>
      <w:r>
        <w:tab/>
      </w:r>
      <w:r>
        <w:fldChar w:fldCharType="begin"/>
      </w:r>
      <w:r>
        <w:instrText xml:space="preserve"> PAGEREF _Toc5878 \h </w:instrText>
      </w:r>
      <w:r>
        <w:fldChar w:fldCharType="separate"/>
      </w:r>
      <w:r>
        <w:t>V</w:t>
      </w:r>
      <w:r>
        <w:fldChar w:fldCharType="end"/>
      </w:r>
      <w:r>
        <w:rPr>
          <w:color w:val="000000"/>
        </w:rPr>
        <w:fldChar w:fldCharType="end"/>
      </w:r>
    </w:p>
    <w:p w14:paraId="4308A7AE">
      <w:pPr>
        <w:pStyle w:val="14"/>
        <w:tabs>
          <w:tab w:val="right" w:leader="dot" w:pos="9354"/>
        </w:tabs>
      </w:pPr>
      <w:r>
        <w:rPr>
          <w:color w:val="000000"/>
        </w:rPr>
        <w:fldChar w:fldCharType="begin"/>
      </w:r>
      <w:r>
        <w:instrText xml:space="preserve"> HYPERLINK \l _Toc22031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_Toc22031 \h </w:instrText>
      </w:r>
      <w:r>
        <w:fldChar w:fldCharType="separate"/>
      </w:r>
      <w:r>
        <w:t>1</w:t>
      </w:r>
      <w:r>
        <w:fldChar w:fldCharType="end"/>
      </w:r>
      <w:r>
        <w:rPr>
          <w:color w:val="000000"/>
        </w:rPr>
        <w:fldChar w:fldCharType="end"/>
      </w:r>
    </w:p>
    <w:p w14:paraId="6F86B0C0">
      <w:pPr>
        <w:pStyle w:val="14"/>
        <w:tabs>
          <w:tab w:val="right" w:leader="dot" w:pos="9354"/>
        </w:tabs>
      </w:pPr>
      <w:r>
        <w:rPr>
          <w:color w:val="000000"/>
        </w:rPr>
        <w:fldChar w:fldCharType="begin"/>
      </w:r>
      <w:r>
        <w:instrText xml:space="preserve"> HYPERLINK \l _Toc14546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_Toc14546 \h </w:instrText>
      </w:r>
      <w:r>
        <w:fldChar w:fldCharType="separate"/>
      </w:r>
      <w:r>
        <w:t>1</w:t>
      </w:r>
      <w:r>
        <w:fldChar w:fldCharType="end"/>
      </w:r>
      <w:r>
        <w:rPr>
          <w:color w:val="000000"/>
        </w:rPr>
        <w:fldChar w:fldCharType="end"/>
      </w:r>
    </w:p>
    <w:p w14:paraId="00A70EAE">
      <w:pPr>
        <w:pStyle w:val="14"/>
        <w:tabs>
          <w:tab w:val="right" w:leader="dot" w:pos="9354"/>
        </w:tabs>
      </w:pPr>
      <w:r>
        <w:rPr>
          <w:color w:val="000000"/>
        </w:rPr>
        <w:fldChar w:fldCharType="begin"/>
      </w:r>
      <w:r>
        <w:instrText xml:space="preserve"> HYPERLINK \l _Toc7112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_Toc7112 \h </w:instrText>
      </w:r>
      <w:r>
        <w:fldChar w:fldCharType="separate"/>
      </w:r>
      <w:r>
        <w:t>1</w:t>
      </w:r>
      <w:r>
        <w:fldChar w:fldCharType="end"/>
      </w:r>
      <w:r>
        <w:rPr>
          <w:color w:val="000000"/>
        </w:rPr>
        <w:fldChar w:fldCharType="end"/>
      </w:r>
    </w:p>
    <w:p w14:paraId="4D6BDABA">
      <w:pPr>
        <w:pStyle w:val="14"/>
        <w:tabs>
          <w:tab w:val="right" w:leader="dot" w:pos="9354"/>
        </w:tabs>
      </w:pPr>
      <w:r>
        <w:rPr>
          <w:color w:val="000000"/>
        </w:rPr>
        <w:fldChar w:fldCharType="begin"/>
      </w:r>
      <w:r>
        <w:instrText xml:space="preserve"> HYPERLINK \l _Toc10742 </w:instrText>
      </w:r>
      <w:r>
        <w:fldChar w:fldCharType="separate"/>
      </w:r>
      <w:r>
        <w:rPr>
          <w:rFonts w:hint="eastAsia" w:ascii="黑体" w:eastAsia="黑体"/>
          <w:i w:val="0"/>
        </w:rPr>
        <w:t xml:space="preserve">4 </w:t>
      </w:r>
      <w:r>
        <w:rPr>
          <w:rFonts w:hint="eastAsia"/>
        </w:rPr>
        <w:t>总体原则和要求</w:t>
      </w:r>
      <w:r>
        <w:tab/>
      </w:r>
      <w:r>
        <w:fldChar w:fldCharType="begin"/>
      </w:r>
      <w:r>
        <w:instrText xml:space="preserve"> PAGEREF _Toc10742 \h </w:instrText>
      </w:r>
      <w:r>
        <w:fldChar w:fldCharType="separate"/>
      </w:r>
      <w:r>
        <w:t>2</w:t>
      </w:r>
      <w:r>
        <w:fldChar w:fldCharType="end"/>
      </w:r>
      <w:r>
        <w:rPr>
          <w:color w:val="000000"/>
        </w:rPr>
        <w:fldChar w:fldCharType="end"/>
      </w:r>
    </w:p>
    <w:p w14:paraId="090E0050">
      <w:pPr>
        <w:pStyle w:val="14"/>
        <w:tabs>
          <w:tab w:val="right" w:leader="dot" w:pos="9354"/>
        </w:tabs>
      </w:pPr>
      <w:r>
        <w:rPr>
          <w:color w:val="000000"/>
        </w:rPr>
        <w:fldChar w:fldCharType="begin"/>
      </w:r>
      <w:r>
        <w:instrText xml:space="preserve"> HYPERLINK \l _Toc6332 </w:instrText>
      </w:r>
      <w:r>
        <w:fldChar w:fldCharType="separate"/>
      </w:r>
      <w:r>
        <w:rPr>
          <w:rFonts w:hint="eastAsia" w:ascii="黑体" w:eastAsia="黑体"/>
          <w:i w:val="0"/>
        </w:rPr>
        <w:t xml:space="preserve">5 </w:t>
      </w:r>
      <w:r>
        <w:rPr>
          <w:rFonts w:hint="eastAsia"/>
        </w:rPr>
        <w:t>工程咨询机构及其设施</w:t>
      </w:r>
      <w:r>
        <w:tab/>
      </w:r>
      <w:r>
        <w:fldChar w:fldCharType="begin"/>
      </w:r>
      <w:r>
        <w:instrText xml:space="preserve"> PAGEREF _Toc6332 \h </w:instrText>
      </w:r>
      <w:r>
        <w:fldChar w:fldCharType="separate"/>
      </w:r>
      <w:r>
        <w:t>3</w:t>
      </w:r>
      <w:r>
        <w:fldChar w:fldCharType="end"/>
      </w:r>
      <w:r>
        <w:rPr>
          <w:color w:val="000000"/>
        </w:rPr>
        <w:fldChar w:fldCharType="end"/>
      </w:r>
    </w:p>
    <w:p w14:paraId="2771F040">
      <w:pPr>
        <w:pStyle w:val="16"/>
        <w:tabs>
          <w:tab w:val="right" w:leader="dot" w:pos="9354"/>
        </w:tabs>
      </w:pPr>
      <w:r>
        <w:rPr>
          <w:color w:val="000000"/>
        </w:rPr>
        <w:fldChar w:fldCharType="begin"/>
      </w:r>
      <w:r>
        <w:instrText xml:space="preserve"> HYPERLINK \l _Toc346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5.1 </w:t>
      </w:r>
      <w:r>
        <w:rPr>
          <w:rFonts w:hint="eastAsia"/>
        </w:rPr>
        <w:t>一般规定</w:t>
      </w:r>
      <w:r>
        <w:tab/>
      </w:r>
      <w:r>
        <w:fldChar w:fldCharType="begin"/>
      </w:r>
      <w:r>
        <w:instrText xml:space="preserve"> PAGEREF _Toc346 \h </w:instrText>
      </w:r>
      <w:r>
        <w:fldChar w:fldCharType="separate"/>
      </w:r>
      <w:r>
        <w:t>3</w:t>
      </w:r>
      <w:r>
        <w:fldChar w:fldCharType="end"/>
      </w:r>
      <w:r>
        <w:rPr>
          <w:color w:val="000000"/>
        </w:rPr>
        <w:fldChar w:fldCharType="end"/>
      </w:r>
    </w:p>
    <w:p w14:paraId="48B1AD55">
      <w:pPr>
        <w:pStyle w:val="16"/>
        <w:tabs>
          <w:tab w:val="right" w:leader="dot" w:pos="9354"/>
        </w:tabs>
      </w:pPr>
      <w:r>
        <w:rPr>
          <w:color w:val="000000"/>
        </w:rPr>
        <w:fldChar w:fldCharType="begin"/>
      </w:r>
      <w:r>
        <w:instrText xml:space="preserve"> HYPERLINK \l _Toc27326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5.2 </w:t>
      </w:r>
      <w:r>
        <w:t>工程咨询人员职责</w:t>
      </w:r>
      <w:r>
        <w:tab/>
      </w:r>
      <w:r>
        <w:fldChar w:fldCharType="begin"/>
      </w:r>
      <w:r>
        <w:instrText xml:space="preserve"> PAGEREF _Toc27326 \h </w:instrText>
      </w:r>
      <w:r>
        <w:fldChar w:fldCharType="separate"/>
      </w:r>
      <w:r>
        <w:t>3</w:t>
      </w:r>
      <w:r>
        <w:fldChar w:fldCharType="end"/>
      </w:r>
      <w:r>
        <w:rPr>
          <w:color w:val="000000"/>
        </w:rPr>
        <w:fldChar w:fldCharType="end"/>
      </w:r>
    </w:p>
    <w:p w14:paraId="5F690B12">
      <w:pPr>
        <w:pStyle w:val="16"/>
        <w:tabs>
          <w:tab w:val="right" w:leader="dot" w:pos="9354"/>
        </w:tabs>
      </w:pPr>
      <w:r>
        <w:rPr>
          <w:color w:val="000000"/>
        </w:rPr>
        <w:fldChar w:fldCharType="begin"/>
      </w:r>
      <w:r>
        <w:instrText xml:space="preserve"> HYPERLINK \l _Toc9545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5.3 </w:t>
      </w:r>
      <w:r>
        <w:t>工程咨询服务设施</w:t>
      </w:r>
      <w:r>
        <w:tab/>
      </w:r>
      <w:r>
        <w:fldChar w:fldCharType="begin"/>
      </w:r>
      <w:r>
        <w:instrText xml:space="preserve"> PAGEREF _Toc9545 \h </w:instrText>
      </w:r>
      <w:r>
        <w:fldChar w:fldCharType="separate"/>
      </w:r>
      <w:r>
        <w:t>4</w:t>
      </w:r>
      <w:r>
        <w:fldChar w:fldCharType="end"/>
      </w:r>
      <w:r>
        <w:rPr>
          <w:color w:val="000000"/>
        </w:rPr>
        <w:fldChar w:fldCharType="end"/>
      </w:r>
    </w:p>
    <w:p w14:paraId="443842A8">
      <w:pPr>
        <w:pStyle w:val="14"/>
        <w:tabs>
          <w:tab w:val="right" w:leader="dot" w:pos="9354"/>
        </w:tabs>
      </w:pPr>
      <w:r>
        <w:rPr>
          <w:color w:val="000000"/>
        </w:rPr>
        <w:fldChar w:fldCharType="begin"/>
      </w:r>
      <w:r>
        <w:instrText xml:space="preserve"> HYPERLINK \l _Toc12338 </w:instrText>
      </w:r>
      <w:r>
        <w:fldChar w:fldCharType="separate"/>
      </w:r>
      <w:r>
        <w:rPr>
          <w:rFonts w:hint="eastAsia" w:ascii="黑体" w:eastAsia="黑体"/>
          <w:i w:val="0"/>
        </w:rPr>
        <w:t xml:space="preserve">6 </w:t>
      </w:r>
      <w:r>
        <w:rPr>
          <w:rFonts w:hint="eastAsia"/>
        </w:rPr>
        <w:t>工程咨询服务策划</w:t>
      </w:r>
      <w:r>
        <w:tab/>
      </w:r>
      <w:r>
        <w:fldChar w:fldCharType="begin"/>
      </w:r>
      <w:r>
        <w:instrText xml:space="preserve"> PAGEREF _Toc12338 \h </w:instrText>
      </w:r>
      <w:r>
        <w:fldChar w:fldCharType="separate"/>
      </w:r>
      <w:r>
        <w:t>4</w:t>
      </w:r>
      <w:r>
        <w:fldChar w:fldCharType="end"/>
      </w:r>
      <w:r>
        <w:rPr>
          <w:color w:val="000000"/>
        </w:rPr>
        <w:fldChar w:fldCharType="end"/>
      </w:r>
    </w:p>
    <w:p w14:paraId="7B56AF0A">
      <w:pPr>
        <w:pStyle w:val="16"/>
        <w:tabs>
          <w:tab w:val="right" w:leader="dot" w:pos="9354"/>
        </w:tabs>
      </w:pPr>
      <w:r>
        <w:rPr>
          <w:color w:val="000000"/>
        </w:rPr>
        <w:fldChar w:fldCharType="begin"/>
      </w:r>
      <w:r>
        <w:instrText xml:space="preserve"> HYPERLINK \l _Toc17356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6.1 </w:t>
      </w:r>
      <w:r>
        <w:rPr>
          <w:rFonts w:hint="eastAsia"/>
        </w:rPr>
        <w:t>一般规定</w:t>
      </w:r>
      <w:r>
        <w:tab/>
      </w:r>
      <w:r>
        <w:fldChar w:fldCharType="begin"/>
      </w:r>
      <w:r>
        <w:instrText xml:space="preserve"> PAGEREF _Toc17356 \h </w:instrText>
      </w:r>
      <w:r>
        <w:fldChar w:fldCharType="separate"/>
      </w:r>
      <w:r>
        <w:t>4</w:t>
      </w:r>
      <w:r>
        <w:fldChar w:fldCharType="end"/>
      </w:r>
      <w:r>
        <w:rPr>
          <w:color w:val="000000"/>
        </w:rPr>
        <w:fldChar w:fldCharType="end"/>
      </w:r>
    </w:p>
    <w:p w14:paraId="1D47705D">
      <w:pPr>
        <w:pStyle w:val="16"/>
        <w:tabs>
          <w:tab w:val="right" w:leader="dot" w:pos="9354"/>
        </w:tabs>
      </w:pPr>
      <w:r>
        <w:rPr>
          <w:color w:val="000000"/>
        </w:rPr>
        <w:fldChar w:fldCharType="begin"/>
      </w:r>
      <w:r>
        <w:instrText xml:space="preserve"> HYPERLINK \l _Toc40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6.2 </w:t>
      </w:r>
      <w:r>
        <w:rPr>
          <w:rFonts w:hint="eastAsia"/>
        </w:rPr>
        <w:t>全过程工程咨询服务规划</w:t>
      </w:r>
      <w:r>
        <w:tab/>
      </w:r>
      <w:r>
        <w:fldChar w:fldCharType="begin"/>
      </w:r>
      <w:r>
        <w:instrText xml:space="preserve"> PAGEREF _Toc40 \h </w:instrText>
      </w:r>
      <w:r>
        <w:fldChar w:fldCharType="separate"/>
      </w:r>
      <w:r>
        <w:t>4</w:t>
      </w:r>
      <w:r>
        <w:fldChar w:fldCharType="end"/>
      </w:r>
      <w:r>
        <w:rPr>
          <w:color w:val="000000"/>
        </w:rPr>
        <w:fldChar w:fldCharType="end"/>
      </w:r>
    </w:p>
    <w:p w14:paraId="64617FB6">
      <w:pPr>
        <w:pStyle w:val="16"/>
        <w:tabs>
          <w:tab w:val="right" w:leader="dot" w:pos="9354"/>
        </w:tabs>
      </w:pPr>
      <w:r>
        <w:rPr>
          <w:color w:val="000000"/>
        </w:rPr>
        <w:fldChar w:fldCharType="begin"/>
      </w:r>
      <w:r>
        <w:instrText xml:space="preserve"> HYPERLINK \l _Toc26887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6.3 </w:t>
      </w:r>
      <w:r>
        <w:rPr>
          <w:rFonts w:hint="eastAsia"/>
        </w:rPr>
        <w:t>咨询服务实施细则</w:t>
      </w:r>
      <w:r>
        <w:tab/>
      </w:r>
      <w:r>
        <w:fldChar w:fldCharType="begin"/>
      </w:r>
      <w:r>
        <w:instrText xml:space="preserve"> PAGEREF _Toc26887 \h </w:instrText>
      </w:r>
      <w:r>
        <w:fldChar w:fldCharType="separate"/>
      </w:r>
      <w:r>
        <w:t>5</w:t>
      </w:r>
      <w:r>
        <w:fldChar w:fldCharType="end"/>
      </w:r>
      <w:r>
        <w:rPr>
          <w:color w:val="000000"/>
        </w:rPr>
        <w:fldChar w:fldCharType="end"/>
      </w:r>
    </w:p>
    <w:p w14:paraId="2F7EEFB2">
      <w:pPr>
        <w:pStyle w:val="14"/>
        <w:tabs>
          <w:tab w:val="right" w:leader="dot" w:pos="9354"/>
        </w:tabs>
      </w:pPr>
      <w:r>
        <w:rPr>
          <w:color w:val="000000"/>
        </w:rPr>
        <w:fldChar w:fldCharType="begin"/>
      </w:r>
      <w:r>
        <w:instrText xml:space="preserve"> HYPERLINK \l _Toc2629 </w:instrText>
      </w:r>
      <w:r>
        <w:fldChar w:fldCharType="separate"/>
      </w:r>
      <w:r>
        <w:rPr>
          <w:rFonts w:hint="eastAsia" w:ascii="黑体" w:eastAsia="黑体"/>
          <w:i w:val="0"/>
        </w:rPr>
        <w:t xml:space="preserve">7 </w:t>
      </w:r>
      <w:r>
        <w:rPr>
          <w:rFonts w:hint="eastAsia"/>
        </w:rPr>
        <w:t>项目管理</w:t>
      </w:r>
      <w:r>
        <w:tab/>
      </w:r>
      <w:r>
        <w:fldChar w:fldCharType="begin"/>
      </w:r>
      <w:r>
        <w:instrText xml:space="preserve"> PAGEREF _Toc2629 \h </w:instrText>
      </w:r>
      <w:r>
        <w:fldChar w:fldCharType="separate"/>
      </w:r>
      <w:r>
        <w:t>5</w:t>
      </w:r>
      <w:r>
        <w:fldChar w:fldCharType="end"/>
      </w:r>
      <w:r>
        <w:rPr>
          <w:color w:val="000000"/>
        </w:rPr>
        <w:fldChar w:fldCharType="end"/>
      </w:r>
    </w:p>
    <w:p w14:paraId="247ABA3B">
      <w:pPr>
        <w:pStyle w:val="16"/>
        <w:tabs>
          <w:tab w:val="right" w:leader="dot" w:pos="9354"/>
        </w:tabs>
      </w:pPr>
      <w:r>
        <w:rPr>
          <w:color w:val="000000"/>
        </w:rPr>
        <w:fldChar w:fldCharType="begin"/>
      </w:r>
      <w:r>
        <w:instrText xml:space="preserve"> HYPERLINK \l _Toc12777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7.1 </w:t>
      </w:r>
      <w:r>
        <w:rPr>
          <w:rFonts w:hint="eastAsia"/>
        </w:rPr>
        <w:t>投资决策阶段</w:t>
      </w:r>
      <w:r>
        <w:tab/>
      </w:r>
      <w:r>
        <w:fldChar w:fldCharType="begin"/>
      </w:r>
      <w:r>
        <w:instrText xml:space="preserve"> PAGEREF _Toc12777 \h </w:instrText>
      </w:r>
      <w:r>
        <w:fldChar w:fldCharType="separate"/>
      </w:r>
      <w:r>
        <w:t>5</w:t>
      </w:r>
      <w:r>
        <w:fldChar w:fldCharType="end"/>
      </w:r>
      <w:r>
        <w:rPr>
          <w:color w:val="000000"/>
        </w:rPr>
        <w:fldChar w:fldCharType="end"/>
      </w:r>
    </w:p>
    <w:p w14:paraId="3876671A">
      <w:pPr>
        <w:pStyle w:val="16"/>
        <w:tabs>
          <w:tab w:val="right" w:leader="dot" w:pos="9354"/>
        </w:tabs>
      </w:pPr>
      <w:r>
        <w:rPr>
          <w:color w:val="000000"/>
        </w:rPr>
        <w:fldChar w:fldCharType="begin"/>
      </w:r>
      <w:r>
        <w:instrText xml:space="preserve"> HYPERLINK \l _Toc31760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7.2 </w:t>
      </w:r>
      <w:r>
        <w:rPr>
          <w:rFonts w:hint="eastAsia"/>
        </w:rPr>
        <w:t>工程建设准备阶段</w:t>
      </w:r>
      <w:r>
        <w:tab/>
      </w:r>
      <w:r>
        <w:fldChar w:fldCharType="begin"/>
      </w:r>
      <w:r>
        <w:instrText xml:space="preserve"> PAGEREF _Toc31760 \h </w:instrText>
      </w:r>
      <w:r>
        <w:fldChar w:fldCharType="separate"/>
      </w:r>
      <w:r>
        <w:t>6</w:t>
      </w:r>
      <w:r>
        <w:fldChar w:fldCharType="end"/>
      </w:r>
      <w:r>
        <w:rPr>
          <w:color w:val="000000"/>
        </w:rPr>
        <w:fldChar w:fldCharType="end"/>
      </w:r>
    </w:p>
    <w:p w14:paraId="53543F9D">
      <w:pPr>
        <w:pStyle w:val="16"/>
        <w:tabs>
          <w:tab w:val="right" w:leader="dot" w:pos="9354"/>
        </w:tabs>
      </w:pPr>
      <w:r>
        <w:rPr>
          <w:color w:val="000000"/>
        </w:rPr>
        <w:fldChar w:fldCharType="begin"/>
      </w:r>
      <w:r>
        <w:instrText xml:space="preserve"> HYPERLINK \l _Toc28883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7.3 </w:t>
      </w:r>
      <w:r>
        <w:rPr>
          <w:rFonts w:hint="eastAsia"/>
        </w:rPr>
        <w:t>工程建设实施阶段</w:t>
      </w:r>
      <w:r>
        <w:tab/>
      </w:r>
      <w:r>
        <w:fldChar w:fldCharType="begin"/>
      </w:r>
      <w:r>
        <w:instrText xml:space="preserve"> PAGEREF _Toc28883 \h </w:instrText>
      </w:r>
      <w:r>
        <w:fldChar w:fldCharType="separate"/>
      </w:r>
      <w:r>
        <w:t>10</w:t>
      </w:r>
      <w:r>
        <w:fldChar w:fldCharType="end"/>
      </w:r>
      <w:r>
        <w:rPr>
          <w:color w:val="000000"/>
        </w:rPr>
        <w:fldChar w:fldCharType="end"/>
      </w:r>
    </w:p>
    <w:p w14:paraId="3916AA40">
      <w:pPr>
        <w:pStyle w:val="14"/>
        <w:tabs>
          <w:tab w:val="right" w:leader="dot" w:pos="9354"/>
        </w:tabs>
      </w:pPr>
      <w:r>
        <w:rPr>
          <w:color w:val="000000"/>
        </w:rPr>
        <w:fldChar w:fldCharType="begin"/>
      </w:r>
      <w:r>
        <w:instrText xml:space="preserve"> HYPERLINK \l _Toc5523 </w:instrText>
      </w:r>
      <w:r>
        <w:fldChar w:fldCharType="separate"/>
      </w:r>
      <w:r>
        <w:rPr>
          <w:rFonts w:hint="eastAsia" w:ascii="黑体" w:eastAsia="黑体"/>
          <w:i w:val="0"/>
        </w:rPr>
        <w:t xml:space="preserve">8 </w:t>
      </w:r>
      <w:r>
        <w:rPr>
          <w:rFonts w:hint="eastAsia"/>
          <w:highlight w:val="none"/>
        </w:rPr>
        <w:t>投资决策咨询</w:t>
      </w:r>
      <w:r>
        <w:tab/>
      </w:r>
      <w:r>
        <w:fldChar w:fldCharType="begin"/>
      </w:r>
      <w:r>
        <w:instrText xml:space="preserve"> PAGEREF _Toc5523 \h </w:instrText>
      </w:r>
      <w:r>
        <w:fldChar w:fldCharType="separate"/>
      </w:r>
      <w:r>
        <w:t>14</w:t>
      </w:r>
      <w:r>
        <w:fldChar w:fldCharType="end"/>
      </w:r>
      <w:r>
        <w:rPr>
          <w:color w:val="000000"/>
        </w:rPr>
        <w:fldChar w:fldCharType="end"/>
      </w:r>
    </w:p>
    <w:p w14:paraId="19690F17">
      <w:pPr>
        <w:pStyle w:val="16"/>
        <w:tabs>
          <w:tab w:val="right" w:leader="dot" w:pos="9354"/>
        </w:tabs>
      </w:pPr>
      <w:r>
        <w:rPr>
          <w:color w:val="000000"/>
        </w:rPr>
        <w:fldChar w:fldCharType="begin"/>
      </w:r>
      <w:r>
        <w:instrText xml:space="preserve"> HYPERLINK \l _Toc26663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8.1 </w:t>
      </w:r>
      <w:r>
        <w:rPr>
          <w:rFonts w:hint="eastAsia"/>
          <w:highlight w:val="none"/>
        </w:rPr>
        <w:t>一般规定</w:t>
      </w:r>
      <w:r>
        <w:tab/>
      </w:r>
      <w:r>
        <w:fldChar w:fldCharType="begin"/>
      </w:r>
      <w:r>
        <w:instrText xml:space="preserve"> PAGEREF _Toc26663 \h </w:instrText>
      </w:r>
      <w:r>
        <w:fldChar w:fldCharType="separate"/>
      </w:r>
      <w:r>
        <w:t>14</w:t>
      </w:r>
      <w:r>
        <w:fldChar w:fldCharType="end"/>
      </w:r>
      <w:r>
        <w:rPr>
          <w:color w:val="000000"/>
        </w:rPr>
        <w:fldChar w:fldCharType="end"/>
      </w:r>
    </w:p>
    <w:p w14:paraId="632B6DA9">
      <w:pPr>
        <w:pStyle w:val="16"/>
        <w:tabs>
          <w:tab w:val="right" w:leader="dot" w:pos="9354"/>
        </w:tabs>
      </w:pPr>
      <w:r>
        <w:rPr>
          <w:color w:val="000000"/>
        </w:rPr>
        <w:fldChar w:fldCharType="begin"/>
      </w:r>
      <w:r>
        <w:instrText xml:space="preserve"> HYPERLINK \l _Toc4131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8.2 </w:t>
      </w:r>
      <w:r>
        <w:rPr>
          <w:rFonts w:hint="eastAsia"/>
          <w:highlight w:val="none"/>
        </w:rPr>
        <w:t>投资决策咨询主要工作</w:t>
      </w:r>
      <w:r>
        <w:tab/>
      </w:r>
      <w:r>
        <w:fldChar w:fldCharType="begin"/>
      </w:r>
      <w:r>
        <w:instrText xml:space="preserve"> PAGEREF _Toc4131 \h </w:instrText>
      </w:r>
      <w:r>
        <w:fldChar w:fldCharType="separate"/>
      </w:r>
      <w:r>
        <w:t>15</w:t>
      </w:r>
      <w:r>
        <w:fldChar w:fldCharType="end"/>
      </w:r>
      <w:r>
        <w:rPr>
          <w:color w:val="000000"/>
        </w:rPr>
        <w:fldChar w:fldCharType="end"/>
      </w:r>
    </w:p>
    <w:p w14:paraId="1F6FE6A0">
      <w:pPr>
        <w:pStyle w:val="14"/>
        <w:tabs>
          <w:tab w:val="right" w:leader="dot" w:pos="9354"/>
        </w:tabs>
      </w:pPr>
      <w:r>
        <w:rPr>
          <w:color w:val="000000"/>
        </w:rPr>
        <w:fldChar w:fldCharType="begin"/>
      </w:r>
      <w:r>
        <w:instrText xml:space="preserve"> HYPERLINK \l _Toc21113 </w:instrText>
      </w:r>
      <w:r>
        <w:fldChar w:fldCharType="separate"/>
      </w:r>
      <w:r>
        <w:rPr>
          <w:rFonts w:hint="eastAsia" w:ascii="黑体" w:eastAsia="黑体"/>
          <w:i w:val="0"/>
        </w:rPr>
        <w:t xml:space="preserve">9 </w:t>
      </w:r>
      <w:r>
        <w:rPr>
          <w:rFonts w:hint="eastAsia"/>
          <w:highlight w:val="none"/>
        </w:rPr>
        <w:t>勘察设计咨询</w:t>
      </w:r>
      <w:r>
        <w:tab/>
      </w:r>
      <w:r>
        <w:fldChar w:fldCharType="begin"/>
      </w:r>
      <w:r>
        <w:instrText xml:space="preserve"> PAGEREF _Toc21113 \h </w:instrText>
      </w:r>
      <w:r>
        <w:fldChar w:fldCharType="separate"/>
      </w:r>
      <w:r>
        <w:t>16</w:t>
      </w:r>
      <w:r>
        <w:fldChar w:fldCharType="end"/>
      </w:r>
      <w:r>
        <w:rPr>
          <w:color w:val="000000"/>
        </w:rPr>
        <w:fldChar w:fldCharType="end"/>
      </w:r>
    </w:p>
    <w:p w14:paraId="6581C2A0">
      <w:pPr>
        <w:pStyle w:val="16"/>
        <w:tabs>
          <w:tab w:val="right" w:leader="dot" w:pos="9354"/>
        </w:tabs>
      </w:pPr>
      <w:r>
        <w:rPr>
          <w:color w:val="000000"/>
        </w:rPr>
        <w:fldChar w:fldCharType="begin"/>
      </w:r>
      <w:r>
        <w:instrText xml:space="preserve"> HYPERLINK \l _Toc20556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9.1 </w:t>
      </w:r>
      <w:r>
        <w:rPr>
          <w:rFonts w:hint="eastAsia" w:ascii="宋体" w:eastAsia="宋体"/>
          <w:highlight w:val="none"/>
        </w:rPr>
        <w:t>一般规定</w:t>
      </w:r>
      <w:r>
        <w:tab/>
      </w:r>
      <w:r>
        <w:fldChar w:fldCharType="begin"/>
      </w:r>
      <w:r>
        <w:instrText xml:space="preserve"> PAGEREF _Toc20556 \h </w:instrText>
      </w:r>
      <w:r>
        <w:fldChar w:fldCharType="separate"/>
      </w:r>
      <w:r>
        <w:t>16</w:t>
      </w:r>
      <w:r>
        <w:fldChar w:fldCharType="end"/>
      </w:r>
      <w:r>
        <w:rPr>
          <w:color w:val="000000"/>
        </w:rPr>
        <w:fldChar w:fldCharType="end"/>
      </w:r>
    </w:p>
    <w:p w14:paraId="2241604B">
      <w:pPr>
        <w:pStyle w:val="16"/>
        <w:tabs>
          <w:tab w:val="right" w:leader="dot" w:pos="9354"/>
        </w:tabs>
      </w:pPr>
      <w:r>
        <w:rPr>
          <w:color w:val="000000"/>
        </w:rPr>
        <w:fldChar w:fldCharType="begin"/>
      </w:r>
      <w:r>
        <w:instrText xml:space="preserve"> HYPERLINK \l _Toc27973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9.2 </w:t>
      </w:r>
      <w:r>
        <w:rPr>
          <w:rFonts w:hint="eastAsia"/>
          <w:highlight w:val="none"/>
        </w:rPr>
        <w:t>勘察咨询的主要内容</w:t>
      </w:r>
      <w:r>
        <w:tab/>
      </w:r>
      <w:r>
        <w:fldChar w:fldCharType="begin"/>
      </w:r>
      <w:r>
        <w:instrText xml:space="preserve"> PAGEREF _Toc27973 \h </w:instrText>
      </w:r>
      <w:r>
        <w:fldChar w:fldCharType="separate"/>
      </w:r>
      <w:r>
        <w:t>16</w:t>
      </w:r>
      <w:r>
        <w:fldChar w:fldCharType="end"/>
      </w:r>
      <w:r>
        <w:rPr>
          <w:color w:val="000000"/>
        </w:rPr>
        <w:fldChar w:fldCharType="end"/>
      </w:r>
    </w:p>
    <w:p w14:paraId="35ED3FB1">
      <w:pPr>
        <w:pStyle w:val="16"/>
        <w:tabs>
          <w:tab w:val="right" w:leader="dot" w:pos="9354"/>
        </w:tabs>
      </w:pPr>
      <w:r>
        <w:rPr>
          <w:color w:val="000000"/>
        </w:rPr>
        <w:fldChar w:fldCharType="begin"/>
      </w:r>
      <w:r>
        <w:instrText xml:space="preserve"> HYPERLINK \l _Toc25649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9.3 </w:t>
      </w:r>
      <w:r>
        <w:rPr>
          <w:rFonts w:hint="eastAsia"/>
          <w:highlight w:val="none"/>
        </w:rPr>
        <w:t>初步设计咨询的主要内容</w:t>
      </w:r>
      <w:r>
        <w:tab/>
      </w:r>
      <w:r>
        <w:fldChar w:fldCharType="begin"/>
      </w:r>
      <w:r>
        <w:instrText xml:space="preserve"> PAGEREF _Toc25649 \h </w:instrText>
      </w:r>
      <w:r>
        <w:fldChar w:fldCharType="separate"/>
      </w:r>
      <w:r>
        <w:t>17</w:t>
      </w:r>
      <w:r>
        <w:fldChar w:fldCharType="end"/>
      </w:r>
      <w:r>
        <w:rPr>
          <w:color w:val="000000"/>
        </w:rPr>
        <w:fldChar w:fldCharType="end"/>
      </w:r>
    </w:p>
    <w:p w14:paraId="6B8BDFBF">
      <w:pPr>
        <w:pStyle w:val="16"/>
        <w:tabs>
          <w:tab w:val="right" w:leader="dot" w:pos="9354"/>
        </w:tabs>
      </w:pPr>
      <w:r>
        <w:rPr>
          <w:color w:val="000000"/>
        </w:rPr>
        <w:fldChar w:fldCharType="begin"/>
      </w:r>
      <w:r>
        <w:instrText xml:space="preserve"> HYPERLINK \l _Toc8788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9.4 </w:t>
      </w:r>
      <w:r>
        <w:rPr>
          <w:rFonts w:hint="eastAsia"/>
          <w:highlight w:val="none"/>
        </w:rPr>
        <w:t>施工图设计咨询的主要内容</w:t>
      </w:r>
      <w:r>
        <w:tab/>
      </w:r>
      <w:r>
        <w:fldChar w:fldCharType="begin"/>
      </w:r>
      <w:r>
        <w:instrText xml:space="preserve"> PAGEREF _Toc8788 \h </w:instrText>
      </w:r>
      <w:r>
        <w:fldChar w:fldCharType="separate"/>
      </w:r>
      <w:r>
        <w:t>17</w:t>
      </w:r>
      <w:r>
        <w:fldChar w:fldCharType="end"/>
      </w:r>
      <w:r>
        <w:rPr>
          <w:color w:val="000000"/>
        </w:rPr>
        <w:fldChar w:fldCharType="end"/>
      </w:r>
    </w:p>
    <w:p w14:paraId="41D57427">
      <w:pPr>
        <w:pStyle w:val="16"/>
        <w:tabs>
          <w:tab w:val="right" w:leader="dot" w:pos="9354"/>
        </w:tabs>
      </w:pPr>
      <w:r>
        <w:rPr>
          <w:color w:val="000000"/>
        </w:rPr>
        <w:fldChar w:fldCharType="begin"/>
      </w:r>
      <w:r>
        <w:instrText xml:space="preserve"> HYPERLINK \l _Toc6629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9.5 </w:t>
      </w:r>
      <w:r>
        <w:rPr>
          <w:rFonts w:hint="eastAsia"/>
        </w:rPr>
        <w:t>竣工图设计咨询的主要内容</w:t>
      </w:r>
      <w:r>
        <w:tab/>
      </w:r>
      <w:r>
        <w:fldChar w:fldCharType="begin"/>
      </w:r>
      <w:r>
        <w:instrText xml:space="preserve"> PAGEREF _Toc6629 \h </w:instrText>
      </w:r>
      <w:r>
        <w:fldChar w:fldCharType="separate"/>
      </w:r>
      <w:r>
        <w:t>18</w:t>
      </w:r>
      <w:r>
        <w:fldChar w:fldCharType="end"/>
      </w:r>
      <w:r>
        <w:rPr>
          <w:color w:val="000000"/>
        </w:rPr>
        <w:fldChar w:fldCharType="end"/>
      </w:r>
    </w:p>
    <w:p w14:paraId="0499D9EB">
      <w:pPr>
        <w:pStyle w:val="14"/>
        <w:tabs>
          <w:tab w:val="right" w:leader="dot" w:pos="9354"/>
        </w:tabs>
      </w:pPr>
      <w:r>
        <w:rPr>
          <w:color w:val="000000"/>
        </w:rPr>
        <w:fldChar w:fldCharType="begin"/>
      </w:r>
      <w:r>
        <w:instrText xml:space="preserve"> HYPERLINK \l _Toc3377 </w:instrText>
      </w:r>
      <w:r>
        <w:fldChar w:fldCharType="separate"/>
      </w:r>
      <w:r>
        <w:rPr>
          <w:rFonts w:hint="eastAsia" w:ascii="黑体" w:eastAsia="黑体"/>
          <w:i w:val="0"/>
        </w:rPr>
        <w:t xml:space="preserve">10 </w:t>
      </w:r>
      <w:r>
        <w:rPr>
          <w:rFonts w:hint="eastAsia"/>
        </w:rPr>
        <w:t>勘察设计</w:t>
      </w:r>
      <w:r>
        <w:tab/>
      </w:r>
      <w:r>
        <w:fldChar w:fldCharType="begin"/>
      </w:r>
      <w:r>
        <w:instrText xml:space="preserve"> PAGEREF _Toc3377 \h </w:instrText>
      </w:r>
      <w:r>
        <w:fldChar w:fldCharType="separate"/>
      </w:r>
      <w:r>
        <w:t>18</w:t>
      </w:r>
      <w:r>
        <w:fldChar w:fldCharType="end"/>
      </w:r>
      <w:r>
        <w:rPr>
          <w:color w:val="000000"/>
        </w:rPr>
        <w:fldChar w:fldCharType="end"/>
      </w:r>
    </w:p>
    <w:p w14:paraId="175F6345">
      <w:pPr>
        <w:pStyle w:val="16"/>
        <w:tabs>
          <w:tab w:val="right" w:leader="dot" w:pos="9354"/>
        </w:tabs>
      </w:pPr>
      <w:r>
        <w:rPr>
          <w:color w:val="000000"/>
        </w:rPr>
        <w:fldChar w:fldCharType="begin"/>
      </w:r>
      <w:r>
        <w:instrText xml:space="preserve"> HYPERLINK \l _Toc5507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10.1 </w:t>
      </w:r>
      <w:r>
        <w:rPr>
          <w:rFonts w:hint="eastAsia"/>
        </w:rPr>
        <w:t>一般规定</w:t>
      </w:r>
      <w:r>
        <w:tab/>
      </w:r>
      <w:r>
        <w:fldChar w:fldCharType="begin"/>
      </w:r>
      <w:r>
        <w:instrText xml:space="preserve"> PAGEREF _Toc5507 \h </w:instrText>
      </w:r>
      <w:r>
        <w:fldChar w:fldCharType="separate"/>
      </w:r>
      <w:r>
        <w:t>18</w:t>
      </w:r>
      <w:r>
        <w:fldChar w:fldCharType="end"/>
      </w:r>
      <w:r>
        <w:rPr>
          <w:color w:val="000000"/>
        </w:rPr>
        <w:fldChar w:fldCharType="end"/>
      </w:r>
    </w:p>
    <w:p w14:paraId="0169D7A5">
      <w:pPr>
        <w:pStyle w:val="16"/>
        <w:tabs>
          <w:tab w:val="right" w:leader="dot" w:pos="9354"/>
        </w:tabs>
      </w:pPr>
      <w:r>
        <w:rPr>
          <w:color w:val="000000"/>
        </w:rPr>
        <w:fldChar w:fldCharType="begin"/>
      </w:r>
      <w:r>
        <w:instrText xml:space="preserve"> HYPERLINK \l _Toc17756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10.2 </w:t>
      </w:r>
      <w:r>
        <w:rPr>
          <w:rFonts w:hint="eastAsia"/>
        </w:rPr>
        <w:t>勘察设计主要工作</w:t>
      </w:r>
      <w:r>
        <w:tab/>
      </w:r>
      <w:r>
        <w:fldChar w:fldCharType="begin"/>
      </w:r>
      <w:r>
        <w:instrText xml:space="preserve"> PAGEREF _Toc17756 \h </w:instrText>
      </w:r>
      <w:r>
        <w:fldChar w:fldCharType="separate"/>
      </w:r>
      <w:r>
        <w:t>19</w:t>
      </w:r>
      <w:r>
        <w:fldChar w:fldCharType="end"/>
      </w:r>
      <w:r>
        <w:rPr>
          <w:color w:val="000000"/>
        </w:rPr>
        <w:fldChar w:fldCharType="end"/>
      </w:r>
    </w:p>
    <w:p w14:paraId="4C8319AA">
      <w:pPr>
        <w:pStyle w:val="14"/>
        <w:tabs>
          <w:tab w:val="right" w:leader="dot" w:pos="9354"/>
        </w:tabs>
      </w:pPr>
      <w:r>
        <w:rPr>
          <w:color w:val="000000"/>
        </w:rPr>
        <w:fldChar w:fldCharType="begin"/>
      </w:r>
      <w:r>
        <w:instrText xml:space="preserve"> HYPERLINK \l _Toc19729 </w:instrText>
      </w:r>
      <w:r>
        <w:fldChar w:fldCharType="separate"/>
      </w:r>
      <w:r>
        <w:rPr>
          <w:rFonts w:hint="eastAsia" w:ascii="黑体" w:eastAsia="黑体"/>
          <w:i w:val="0"/>
        </w:rPr>
        <w:t xml:space="preserve">11 </w:t>
      </w:r>
      <w:r>
        <w:rPr>
          <w:rFonts w:hint="eastAsia"/>
        </w:rPr>
        <w:t>招标采购咨询</w:t>
      </w:r>
      <w:r>
        <w:tab/>
      </w:r>
      <w:r>
        <w:fldChar w:fldCharType="begin"/>
      </w:r>
      <w:r>
        <w:instrText xml:space="preserve"> PAGEREF _Toc19729 \h </w:instrText>
      </w:r>
      <w:r>
        <w:fldChar w:fldCharType="separate"/>
      </w:r>
      <w:r>
        <w:t>21</w:t>
      </w:r>
      <w:r>
        <w:fldChar w:fldCharType="end"/>
      </w:r>
      <w:r>
        <w:rPr>
          <w:color w:val="000000"/>
        </w:rPr>
        <w:fldChar w:fldCharType="end"/>
      </w:r>
    </w:p>
    <w:p w14:paraId="4D5A4056">
      <w:pPr>
        <w:pStyle w:val="16"/>
        <w:tabs>
          <w:tab w:val="right" w:leader="dot" w:pos="9354"/>
        </w:tabs>
      </w:pPr>
      <w:r>
        <w:rPr>
          <w:color w:val="000000"/>
        </w:rPr>
        <w:fldChar w:fldCharType="begin"/>
      </w:r>
      <w:r>
        <w:instrText xml:space="preserve"> HYPERLINK \l _Toc23336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11.1 </w:t>
      </w:r>
      <w:r>
        <w:rPr>
          <w:rFonts w:hint="eastAsia"/>
        </w:rPr>
        <w:t>一般规定</w:t>
      </w:r>
      <w:r>
        <w:tab/>
      </w:r>
      <w:r>
        <w:fldChar w:fldCharType="begin"/>
      </w:r>
      <w:r>
        <w:instrText xml:space="preserve"> PAGEREF _Toc23336 \h </w:instrText>
      </w:r>
      <w:r>
        <w:fldChar w:fldCharType="separate"/>
      </w:r>
      <w:r>
        <w:t>21</w:t>
      </w:r>
      <w:r>
        <w:fldChar w:fldCharType="end"/>
      </w:r>
      <w:r>
        <w:rPr>
          <w:color w:val="000000"/>
        </w:rPr>
        <w:fldChar w:fldCharType="end"/>
      </w:r>
    </w:p>
    <w:p w14:paraId="22F77C08">
      <w:pPr>
        <w:pStyle w:val="16"/>
        <w:tabs>
          <w:tab w:val="right" w:leader="dot" w:pos="9354"/>
        </w:tabs>
      </w:pPr>
      <w:r>
        <w:rPr>
          <w:color w:val="000000"/>
        </w:rPr>
        <w:fldChar w:fldCharType="begin"/>
      </w:r>
      <w:r>
        <w:instrText xml:space="preserve"> HYPERLINK \l _Toc16496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11.2 </w:t>
      </w:r>
      <w:r>
        <w:rPr>
          <w:rFonts w:hint="eastAsia"/>
        </w:rPr>
        <w:t>招标采购整体策划主要工作</w:t>
      </w:r>
      <w:r>
        <w:tab/>
      </w:r>
      <w:r>
        <w:fldChar w:fldCharType="begin"/>
      </w:r>
      <w:r>
        <w:instrText xml:space="preserve"> PAGEREF _Toc16496 \h </w:instrText>
      </w:r>
      <w:r>
        <w:fldChar w:fldCharType="separate"/>
      </w:r>
      <w:r>
        <w:t>21</w:t>
      </w:r>
      <w:r>
        <w:fldChar w:fldCharType="end"/>
      </w:r>
      <w:r>
        <w:rPr>
          <w:color w:val="000000"/>
        </w:rPr>
        <w:fldChar w:fldCharType="end"/>
      </w:r>
    </w:p>
    <w:p w14:paraId="337FA5D7">
      <w:pPr>
        <w:pStyle w:val="16"/>
        <w:tabs>
          <w:tab w:val="right" w:leader="dot" w:pos="9354"/>
        </w:tabs>
      </w:pPr>
      <w:r>
        <w:rPr>
          <w:color w:val="000000"/>
        </w:rPr>
        <w:fldChar w:fldCharType="begin"/>
      </w:r>
      <w:r>
        <w:instrText xml:space="preserve"> HYPERLINK \l _Toc9312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11.3 </w:t>
      </w:r>
      <w:r>
        <w:rPr>
          <w:rFonts w:hint="eastAsia"/>
        </w:rPr>
        <w:t>招标实施阶段咨询主要工作</w:t>
      </w:r>
      <w:r>
        <w:tab/>
      </w:r>
      <w:r>
        <w:fldChar w:fldCharType="begin"/>
      </w:r>
      <w:r>
        <w:instrText xml:space="preserve"> PAGEREF _Toc9312 \h </w:instrText>
      </w:r>
      <w:r>
        <w:fldChar w:fldCharType="separate"/>
      </w:r>
      <w:r>
        <w:t>22</w:t>
      </w:r>
      <w:r>
        <w:fldChar w:fldCharType="end"/>
      </w:r>
      <w:r>
        <w:rPr>
          <w:color w:val="000000"/>
        </w:rPr>
        <w:fldChar w:fldCharType="end"/>
      </w:r>
    </w:p>
    <w:p w14:paraId="00199E5A">
      <w:pPr>
        <w:pStyle w:val="16"/>
        <w:tabs>
          <w:tab w:val="right" w:leader="dot" w:pos="9354"/>
        </w:tabs>
      </w:pPr>
      <w:r>
        <w:rPr>
          <w:color w:val="000000"/>
        </w:rPr>
        <w:fldChar w:fldCharType="begin"/>
      </w:r>
      <w:r>
        <w:instrText xml:space="preserve"> HYPERLINK \l _Toc13805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11.4 </w:t>
      </w:r>
      <w:r>
        <w:rPr>
          <w:rFonts w:hint="eastAsia"/>
        </w:rPr>
        <w:t>合同签订及后续履约服务主要工作</w:t>
      </w:r>
      <w:r>
        <w:tab/>
      </w:r>
      <w:r>
        <w:fldChar w:fldCharType="begin"/>
      </w:r>
      <w:r>
        <w:instrText xml:space="preserve"> PAGEREF _Toc13805 \h </w:instrText>
      </w:r>
      <w:r>
        <w:fldChar w:fldCharType="separate"/>
      </w:r>
      <w:r>
        <w:t>22</w:t>
      </w:r>
      <w:r>
        <w:fldChar w:fldCharType="end"/>
      </w:r>
      <w:r>
        <w:rPr>
          <w:color w:val="000000"/>
        </w:rPr>
        <w:fldChar w:fldCharType="end"/>
      </w:r>
    </w:p>
    <w:p w14:paraId="56959B39">
      <w:pPr>
        <w:pStyle w:val="14"/>
        <w:tabs>
          <w:tab w:val="right" w:leader="dot" w:pos="9354"/>
        </w:tabs>
      </w:pPr>
      <w:r>
        <w:rPr>
          <w:color w:val="000000"/>
        </w:rPr>
        <w:fldChar w:fldCharType="begin"/>
      </w:r>
      <w:r>
        <w:instrText xml:space="preserve"> HYPERLINK \l _Toc7967 </w:instrText>
      </w:r>
      <w:r>
        <w:fldChar w:fldCharType="separate"/>
      </w:r>
      <w:r>
        <w:rPr>
          <w:rFonts w:hint="eastAsia" w:ascii="黑体" w:eastAsia="黑体"/>
          <w:i w:val="0"/>
        </w:rPr>
        <w:t xml:space="preserve">12 </w:t>
      </w:r>
      <w:r>
        <w:rPr>
          <w:rFonts w:hint="eastAsia"/>
        </w:rPr>
        <w:t>招标代理</w:t>
      </w:r>
      <w:r>
        <w:tab/>
      </w:r>
      <w:r>
        <w:fldChar w:fldCharType="begin"/>
      </w:r>
      <w:r>
        <w:instrText xml:space="preserve"> PAGEREF _Toc7967 \h </w:instrText>
      </w:r>
      <w:r>
        <w:fldChar w:fldCharType="separate"/>
      </w:r>
      <w:r>
        <w:t>22</w:t>
      </w:r>
      <w:r>
        <w:fldChar w:fldCharType="end"/>
      </w:r>
      <w:r>
        <w:rPr>
          <w:color w:val="000000"/>
        </w:rPr>
        <w:fldChar w:fldCharType="end"/>
      </w:r>
    </w:p>
    <w:p w14:paraId="743C9730">
      <w:pPr>
        <w:pStyle w:val="16"/>
        <w:tabs>
          <w:tab w:val="right" w:leader="dot" w:pos="9354"/>
        </w:tabs>
      </w:pPr>
      <w:r>
        <w:rPr>
          <w:color w:val="000000"/>
        </w:rPr>
        <w:fldChar w:fldCharType="begin"/>
      </w:r>
      <w:r>
        <w:instrText xml:space="preserve"> HYPERLINK \l _Toc18475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12.1 </w:t>
      </w:r>
      <w:r>
        <w:rPr>
          <w:rFonts w:hint="eastAsia"/>
        </w:rPr>
        <w:t>一般规定</w:t>
      </w:r>
      <w:r>
        <w:tab/>
      </w:r>
      <w:r>
        <w:fldChar w:fldCharType="begin"/>
      </w:r>
      <w:r>
        <w:instrText xml:space="preserve"> PAGEREF _Toc18475 \h </w:instrText>
      </w:r>
      <w:r>
        <w:fldChar w:fldCharType="separate"/>
      </w:r>
      <w:r>
        <w:t>22</w:t>
      </w:r>
      <w:r>
        <w:fldChar w:fldCharType="end"/>
      </w:r>
      <w:r>
        <w:rPr>
          <w:color w:val="000000"/>
        </w:rPr>
        <w:fldChar w:fldCharType="end"/>
      </w:r>
    </w:p>
    <w:p w14:paraId="61FF297E">
      <w:pPr>
        <w:pStyle w:val="16"/>
        <w:tabs>
          <w:tab w:val="right" w:leader="dot" w:pos="9354"/>
        </w:tabs>
      </w:pPr>
      <w:r>
        <w:rPr>
          <w:color w:val="000000"/>
        </w:rPr>
        <w:fldChar w:fldCharType="begin"/>
      </w:r>
      <w:r>
        <w:instrText xml:space="preserve"> HYPERLINK \l _Toc9359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12.2 </w:t>
      </w:r>
      <w:r>
        <w:rPr>
          <w:rFonts w:hint="eastAsia"/>
        </w:rPr>
        <w:t>招标采购前期准备主要工作</w:t>
      </w:r>
      <w:r>
        <w:tab/>
      </w:r>
      <w:r>
        <w:fldChar w:fldCharType="begin"/>
      </w:r>
      <w:r>
        <w:instrText xml:space="preserve"> PAGEREF _Toc9359 \h </w:instrText>
      </w:r>
      <w:r>
        <w:fldChar w:fldCharType="separate"/>
      </w:r>
      <w:r>
        <w:t>22</w:t>
      </w:r>
      <w:r>
        <w:fldChar w:fldCharType="end"/>
      </w:r>
      <w:r>
        <w:rPr>
          <w:color w:val="000000"/>
        </w:rPr>
        <w:fldChar w:fldCharType="end"/>
      </w:r>
    </w:p>
    <w:p w14:paraId="70BAF1B7">
      <w:pPr>
        <w:pStyle w:val="16"/>
        <w:tabs>
          <w:tab w:val="right" w:leader="dot" w:pos="9354"/>
        </w:tabs>
      </w:pPr>
      <w:r>
        <w:rPr>
          <w:color w:val="000000"/>
        </w:rPr>
        <w:fldChar w:fldCharType="begin"/>
      </w:r>
      <w:r>
        <w:instrText xml:space="preserve"> HYPERLINK \l _Toc14458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12.3 </w:t>
      </w:r>
      <w:r>
        <w:rPr>
          <w:rFonts w:hint="eastAsia"/>
        </w:rPr>
        <w:t>招标过程管理主要工作</w:t>
      </w:r>
      <w:r>
        <w:tab/>
      </w:r>
      <w:r>
        <w:fldChar w:fldCharType="begin"/>
      </w:r>
      <w:r>
        <w:instrText xml:space="preserve"> PAGEREF _Toc14458 \h </w:instrText>
      </w:r>
      <w:r>
        <w:fldChar w:fldCharType="separate"/>
      </w:r>
      <w:r>
        <w:t>22</w:t>
      </w:r>
      <w:r>
        <w:fldChar w:fldCharType="end"/>
      </w:r>
      <w:r>
        <w:rPr>
          <w:color w:val="000000"/>
        </w:rPr>
        <w:fldChar w:fldCharType="end"/>
      </w:r>
    </w:p>
    <w:p w14:paraId="7C81A06D">
      <w:pPr>
        <w:pStyle w:val="16"/>
        <w:tabs>
          <w:tab w:val="right" w:leader="dot" w:pos="9354"/>
        </w:tabs>
      </w:pPr>
      <w:r>
        <w:rPr>
          <w:color w:val="000000"/>
        </w:rPr>
        <w:fldChar w:fldCharType="begin"/>
      </w:r>
      <w:r>
        <w:instrText xml:space="preserve"> HYPERLINK \l _Toc12898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12.4 </w:t>
      </w:r>
      <w:r>
        <w:rPr>
          <w:rFonts w:hint="eastAsia"/>
        </w:rPr>
        <w:t>中标及合同签订主要工作</w:t>
      </w:r>
      <w:r>
        <w:tab/>
      </w:r>
      <w:r>
        <w:fldChar w:fldCharType="begin"/>
      </w:r>
      <w:r>
        <w:instrText xml:space="preserve"> PAGEREF _Toc12898 \h </w:instrText>
      </w:r>
      <w:r>
        <w:fldChar w:fldCharType="separate"/>
      </w:r>
      <w:r>
        <w:t>22</w:t>
      </w:r>
      <w:r>
        <w:fldChar w:fldCharType="end"/>
      </w:r>
      <w:r>
        <w:rPr>
          <w:color w:val="000000"/>
        </w:rPr>
        <w:fldChar w:fldCharType="end"/>
      </w:r>
    </w:p>
    <w:p w14:paraId="2CD92ED1">
      <w:pPr>
        <w:pStyle w:val="16"/>
        <w:tabs>
          <w:tab w:val="right" w:leader="dot" w:pos="9354"/>
        </w:tabs>
      </w:pPr>
      <w:r>
        <w:rPr>
          <w:color w:val="000000"/>
        </w:rPr>
        <w:fldChar w:fldCharType="begin"/>
      </w:r>
      <w:r>
        <w:instrText xml:space="preserve"> HYPERLINK \l _Toc2365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12.5 </w:t>
      </w:r>
      <w:r>
        <w:rPr>
          <w:rFonts w:hint="eastAsia"/>
        </w:rPr>
        <w:t>其他主要工作</w:t>
      </w:r>
      <w:r>
        <w:tab/>
      </w:r>
      <w:r>
        <w:fldChar w:fldCharType="begin"/>
      </w:r>
      <w:r>
        <w:instrText xml:space="preserve"> PAGEREF _Toc2365 \h </w:instrText>
      </w:r>
      <w:r>
        <w:fldChar w:fldCharType="separate"/>
      </w:r>
      <w:r>
        <w:t>22</w:t>
      </w:r>
      <w:r>
        <w:fldChar w:fldCharType="end"/>
      </w:r>
      <w:r>
        <w:rPr>
          <w:color w:val="000000"/>
        </w:rPr>
        <w:fldChar w:fldCharType="end"/>
      </w:r>
    </w:p>
    <w:p w14:paraId="2DF377E8">
      <w:pPr>
        <w:pStyle w:val="14"/>
        <w:tabs>
          <w:tab w:val="right" w:leader="dot" w:pos="9354"/>
        </w:tabs>
      </w:pPr>
      <w:r>
        <w:rPr>
          <w:color w:val="000000"/>
        </w:rPr>
        <w:fldChar w:fldCharType="begin"/>
      </w:r>
      <w:r>
        <w:instrText xml:space="preserve"> HYPERLINK \l _Toc15185 </w:instrText>
      </w:r>
      <w:r>
        <w:fldChar w:fldCharType="separate"/>
      </w:r>
      <w:r>
        <w:rPr>
          <w:rFonts w:hint="eastAsia" w:ascii="黑体" w:eastAsia="黑体"/>
          <w:i w:val="0"/>
        </w:rPr>
        <w:t xml:space="preserve">13 </w:t>
      </w:r>
      <w:r>
        <w:rPr>
          <w:rFonts w:hint="eastAsia"/>
        </w:rPr>
        <w:t>工程监理</w:t>
      </w:r>
      <w:r>
        <w:tab/>
      </w:r>
      <w:r>
        <w:fldChar w:fldCharType="begin"/>
      </w:r>
      <w:r>
        <w:instrText xml:space="preserve"> PAGEREF _Toc15185 \h </w:instrText>
      </w:r>
      <w:r>
        <w:fldChar w:fldCharType="separate"/>
      </w:r>
      <w:r>
        <w:t>23</w:t>
      </w:r>
      <w:r>
        <w:fldChar w:fldCharType="end"/>
      </w:r>
      <w:r>
        <w:rPr>
          <w:color w:val="000000"/>
        </w:rPr>
        <w:fldChar w:fldCharType="end"/>
      </w:r>
    </w:p>
    <w:p w14:paraId="1A656A9C">
      <w:pPr>
        <w:pStyle w:val="16"/>
        <w:tabs>
          <w:tab w:val="right" w:leader="dot" w:pos="9354"/>
        </w:tabs>
      </w:pPr>
      <w:r>
        <w:rPr>
          <w:color w:val="000000"/>
        </w:rPr>
        <w:fldChar w:fldCharType="begin"/>
      </w:r>
      <w:r>
        <w:instrText xml:space="preserve"> HYPERLINK \l _Toc3963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13.1 </w:t>
      </w:r>
      <w:r>
        <w:rPr>
          <w:rFonts w:hint="eastAsia"/>
        </w:rPr>
        <w:t>一般规定</w:t>
      </w:r>
      <w:r>
        <w:tab/>
      </w:r>
      <w:r>
        <w:fldChar w:fldCharType="begin"/>
      </w:r>
      <w:r>
        <w:instrText xml:space="preserve"> PAGEREF _Toc3963 \h </w:instrText>
      </w:r>
      <w:r>
        <w:fldChar w:fldCharType="separate"/>
      </w:r>
      <w:r>
        <w:t>23</w:t>
      </w:r>
      <w:r>
        <w:fldChar w:fldCharType="end"/>
      </w:r>
      <w:r>
        <w:rPr>
          <w:color w:val="000000"/>
        </w:rPr>
        <w:fldChar w:fldCharType="end"/>
      </w:r>
    </w:p>
    <w:p w14:paraId="25BBFB52">
      <w:pPr>
        <w:pStyle w:val="16"/>
        <w:tabs>
          <w:tab w:val="right" w:leader="dot" w:pos="9354"/>
        </w:tabs>
      </w:pPr>
      <w:r>
        <w:rPr>
          <w:color w:val="000000"/>
        </w:rPr>
        <w:fldChar w:fldCharType="begin"/>
      </w:r>
      <w:r>
        <w:instrText xml:space="preserve"> HYPERLINK \l _Toc8190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13.2 </w:t>
      </w:r>
      <w:r>
        <w:rPr>
          <w:rFonts w:hint="eastAsia"/>
        </w:rPr>
        <w:t>勘察设计监理主要工作</w:t>
      </w:r>
      <w:r>
        <w:tab/>
      </w:r>
      <w:r>
        <w:fldChar w:fldCharType="begin"/>
      </w:r>
      <w:r>
        <w:instrText xml:space="preserve"> PAGEREF _Toc8190 \h </w:instrText>
      </w:r>
      <w:r>
        <w:fldChar w:fldCharType="separate"/>
      </w:r>
      <w:r>
        <w:t>23</w:t>
      </w:r>
      <w:r>
        <w:fldChar w:fldCharType="end"/>
      </w:r>
      <w:r>
        <w:rPr>
          <w:color w:val="000000"/>
        </w:rPr>
        <w:fldChar w:fldCharType="end"/>
      </w:r>
    </w:p>
    <w:p w14:paraId="6D0A6AAA">
      <w:pPr>
        <w:pStyle w:val="16"/>
        <w:tabs>
          <w:tab w:val="right" w:leader="dot" w:pos="9354"/>
        </w:tabs>
      </w:pPr>
      <w:r>
        <w:rPr>
          <w:color w:val="000000"/>
        </w:rPr>
        <w:fldChar w:fldCharType="begin"/>
      </w:r>
      <w:r>
        <w:instrText xml:space="preserve"> HYPERLINK \l _Toc8932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13.3 </w:t>
      </w:r>
      <w:r>
        <w:rPr>
          <w:rFonts w:hint="eastAsia"/>
        </w:rPr>
        <w:t>施工监理主要工作</w:t>
      </w:r>
      <w:r>
        <w:tab/>
      </w:r>
      <w:r>
        <w:fldChar w:fldCharType="begin"/>
      </w:r>
      <w:r>
        <w:instrText xml:space="preserve"> PAGEREF _Toc8932 \h </w:instrText>
      </w:r>
      <w:r>
        <w:fldChar w:fldCharType="separate"/>
      </w:r>
      <w:r>
        <w:t>23</w:t>
      </w:r>
      <w:r>
        <w:fldChar w:fldCharType="end"/>
      </w:r>
      <w:r>
        <w:rPr>
          <w:color w:val="000000"/>
        </w:rPr>
        <w:fldChar w:fldCharType="end"/>
      </w:r>
    </w:p>
    <w:p w14:paraId="3E05D1A5">
      <w:pPr>
        <w:pStyle w:val="14"/>
        <w:tabs>
          <w:tab w:val="right" w:leader="dot" w:pos="9354"/>
        </w:tabs>
      </w:pPr>
      <w:r>
        <w:rPr>
          <w:color w:val="000000"/>
        </w:rPr>
        <w:fldChar w:fldCharType="begin"/>
      </w:r>
      <w:r>
        <w:instrText xml:space="preserve"> HYPERLINK \l _Toc10898 </w:instrText>
      </w:r>
      <w:r>
        <w:fldChar w:fldCharType="separate"/>
      </w:r>
      <w:r>
        <w:rPr>
          <w:rFonts w:hint="eastAsia" w:ascii="黑体" w:eastAsia="黑体"/>
          <w:i w:val="0"/>
        </w:rPr>
        <w:t xml:space="preserve">14 </w:t>
      </w:r>
      <w:r>
        <w:rPr>
          <w:rFonts w:hint="eastAsia"/>
        </w:rPr>
        <w:t>设备监理</w:t>
      </w:r>
      <w:r>
        <w:tab/>
      </w:r>
      <w:r>
        <w:fldChar w:fldCharType="begin"/>
      </w:r>
      <w:r>
        <w:instrText xml:space="preserve"> PAGEREF _Toc10898 \h </w:instrText>
      </w:r>
      <w:r>
        <w:fldChar w:fldCharType="separate"/>
      </w:r>
      <w:r>
        <w:t>26</w:t>
      </w:r>
      <w:r>
        <w:fldChar w:fldCharType="end"/>
      </w:r>
      <w:r>
        <w:rPr>
          <w:color w:val="000000"/>
        </w:rPr>
        <w:fldChar w:fldCharType="end"/>
      </w:r>
    </w:p>
    <w:p w14:paraId="3E012E44">
      <w:pPr>
        <w:pStyle w:val="16"/>
        <w:tabs>
          <w:tab w:val="right" w:leader="dot" w:pos="9354"/>
        </w:tabs>
      </w:pPr>
      <w:r>
        <w:rPr>
          <w:color w:val="000000"/>
        </w:rPr>
        <w:fldChar w:fldCharType="begin"/>
      </w:r>
      <w:r>
        <w:instrText xml:space="preserve"> HYPERLINK \l _Toc6485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14.1 </w:t>
      </w:r>
      <w:r>
        <w:rPr>
          <w:rFonts w:hint="eastAsia"/>
        </w:rPr>
        <w:t>一般规定</w:t>
      </w:r>
      <w:r>
        <w:tab/>
      </w:r>
      <w:r>
        <w:fldChar w:fldCharType="begin"/>
      </w:r>
      <w:r>
        <w:instrText xml:space="preserve"> PAGEREF _Toc6485 \h </w:instrText>
      </w:r>
      <w:r>
        <w:fldChar w:fldCharType="separate"/>
      </w:r>
      <w:r>
        <w:t>26</w:t>
      </w:r>
      <w:r>
        <w:fldChar w:fldCharType="end"/>
      </w:r>
      <w:r>
        <w:rPr>
          <w:color w:val="000000"/>
        </w:rPr>
        <w:fldChar w:fldCharType="end"/>
      </w:r>
    </w:p>
    <w:p w14:paraId="2813596D">
      <w:pPr>
        <w:pStyle w:val="16"/>
        <w:tabs>
          <w:tab w:val="right" w:leader="dot" w:pos="9354"/>
        </w:tabs>
      </w:pPr>
      <w:r>
        <w:rPr>
          <w:color w:val="000000"/>
        </w:rPr>
        <w:fldChar w:fldCharType="begin"/>
      </w:r>
      <w:r>
        <w:instrText xml:space="preserve"> HYPERLINK \l _Toc22230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14.2 </w:t>
      </w:r>
      <w:r>
        <w:rPr>
          <w:rFonts w:hint="eastAsia"/>
        </w:rPr>
        <w:t>设备监理主要工作</w:t>
      </w:r>
      <w:r>
        <w:tab/>
      </w:r>
      <w:r>
        <w:fldChar w:fldCharType="begin"/>
      </w:r>
      <w:r>
        <w:instrText xml:space="preserve"> PAGEREF _Toc22230 \h </w:instrText>
      </w:r>
      <w:r>
        <w:fldChar w:fldCharType="separate"/>
      </w:r>
      <w:r>
        <w:t>26</w:t>
      </w:r>
      <w:r>
        <w:fldChar w:fldCharType="end"/>
      </w:r>
      <w:r>
        <w:rPr>
          <w:color w:val="000000"/>
        </w:rPr>
        <w:fldChar w:fldCharType="end"/>
      </w:r>
    </w:p>
    <w:p w14:paraId="413E6729">
      <w:pPr>
        <w:pStyle w:val="14"/>
        <w:tabs>
          <w:tab w:val="right" w:leader="dot" w:pos="9354"/>
        </w:tabs>
      </w:pPr>
      <w:r>
        <w:rPr>
          <w:color w:val="000000"/>
        </w:rPr>
        <w:fldChar w:fldCharType="begin"/>
      </w:r>
      <w:r>
        <w:instrText xml:space="preserve"> HYPERLINK \l _Toc28521 </w:instrText>
      </w:r>
      <w:r>
        <w:fldChar w:fldCharType="separate"/>
      </w:r>
      <w:r>
        <w:rPr>
          <w:rFonts w:hint="eastAsia" w:ascii="黑体" w:eastAsia="黑体"/>
          <w:i w:val="0"/>
        </w:rPr>
        <w:t xml:space="preserve">15 </w:t>
      </w:r>
      <w:r>
        <w:rPr>
          <w:rFonts w:hint="eastAsia"/>
        </w:rPr>
        <w:t>造价咨询</w:t>
      </w:r>
      <w:r>
        <w:tab/>
      </w:r>
      <w:r>
        <w:fldChar w:fldCharType="begin"/>
      </w:r>
      <w:r>
        <w:instrText xml:space="preserve"> PAGEREF _Toc28521 \h </w:instrText>
      </w:r>
      <w:r>
        <w:fldChar w:fldCharType="separate"/>
      </w:r>
      <w:r>
        <w:t>28</w:t>
      </w:r>
      <w:r>
        <w:fldChar w:fldCharType="end"/>
      </w:r>
      <w:r>
        <w:rPr>
          <w:color w:val="000000"/>
        </w:rPr>
        <w:fldChar w:fldCharType="end"/>
      </w:r>
    </w:p>
    <w:p w14:paraId="6BE96970">
      <w:pPr>
        <w:pStyle w:val="16"/>
        <w:tabs>
          <w:tab w:val="right" w:leader="dot" w:pos="9354"/>
        </w:tabs>
      </w:pPr>
      <w:r>
        <w:rPr>
          <w:color w:val="000000"/>
        </w:rPr>
        <w:fldChar w:fldCharType="begin"/>
      </w:r>
      <w:r>
        <w:instrText xml:space="preserve"> HYPERLINK \l _Toc10014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15.1 </w:t>
      </w:r>
      <w:r>
        <w:rPr>
          <w:rFonts w:hint="eastAsia"/>
        </w:rPr>
        <w:t>一般规定</w:t>
      </w:r>
      <w:r>
        <w:tab/>
      </w:r>
      <w:r>
        <w:fldChar w:fldCharType="begin"/>
      </w:r>
      <w:r>
        <w:instrText xml:space="preserve"> PAGEREF _Toc10014 \h </w:instrText>
      </w:r>
      <w:r>
        <w:fldChar w:fldCharType="separate"/>
      </w:r>
      <w:r>
        <w:t>28</w:t>
      </w:r>
      <w:r>
        <w:fldChar w:fldCharType="end"/>
      </w:r>
      <w:r>
        <w:rPr>
          <w:color w:val="000000"/>
        </w:rPr>
        <w:fldChar w:fldCharType="end"/>
      </w:r>
    </w:p>
    <w:p w14:paraId="3FCB3BD0">
      <w:pPr>
        <w:pStyle w:val="16"/>
        <w:tabs>
          <w:tab w:val="right" w:leader="dot" w:pos="9354"/>
        </w:tabs>
      </w:pPr>
      <w:r>
        <w:rPr>
          <w:color w:val="000000"/>
        </w:rPr>
        <w:fldChar w:fldCharType="begin"/>
      </w:r>
      <w:r>
        <w:instrText xml:space="preserve"> HYPERLINK \l _Toc23969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15.2 </w:t>
      </w:r>
      <w:r>
        <w:rPr>
          <w:rFonts w:hint="eastAsia"/>
        </w:rPr>
        <w:t>造价咨询主要工作</w:t>
      </w:r>
      <w:r>
        <w:tab/>
      </w:r>
      <w:r>
        <w:fldChar w:fldCharType="begin"/>
      </w:r>
      <w:r>
        <w:instrText xml:space="preserve"> PAGEREF _Toc23969 \h </w:instrText>
      </w:r>
      <w:r>
        <w:fldChar w:fldCharType="separate"/>
      </w:r>
      <w:r>
        <w:t>28</w:t>
      </w:r>
      <w:r>
        <w:fldChar w:fldCharType="end"/>
      </w:r>
      <w:r>
        <w:rPr>
          <w:color w:val="000000"/>
        </w:rPr>
        <w:fldChar w:fldCharType="end"/>
      </w:r>
    </w:p>
    <w:p w14:paraId="466EDF9F">
      <w:pPr>
        <w:pStyle w:val="14"/>
        <w:tabs>
          <w:tab w:val="right" w:leader="dot" w:pos="9354"/>
        </w:tabs>
      </w:pPr>
      <w:r>
        <w:rPr>
          <w:color w:val="000000"/>
        </w:rPr>
        <w:fldChar w:fldCharType="begin"/>
      </w:r>
      <w:r>
        <w:instrText xml:space="preserve"> HYPERLINK \l _Toc15205 </w:instrText>
      </w:r>
      <w:r>
        <w:fldChar w:fldCharType="separate"/>
      </w:r>
      <w:r>
        <w:rPr>
          <w:rFonts w:hint="eastAsia" w:ascii="黑体" w:eastAsia="黑体"/>
          <w:i w:val="0"/>
        </w:rPr>
        <w:t xml:space="preserve">16 </w:t>
      </w:r>
      <w:r>
        <w:rPr>
          <w:rFonts w:hint="eastAsia"/>
        </w:rPr>
        <w:t>数智化管理咨询</w:t>
      </w:r>
      <w:r>
        <w:tab/>
      </w:r>
      <w:r>
        <w:fldChar w:fldCharType="begin"/>
      </w:r>
      <w:r>
        <w:instrText xml:space="preserve"> PAGEREF _Toc15205 \h </w:instrText>
      </w:r>
      <w:r>
        <w:fldChar w:fldCharType="separate"/>
      </w:r>
      <w:r>
        <w:t>29</w:t>
      </w:r>
      <w:r>
        <w:fldChar w:fldCharType="end"/>
      </w:r>
      <w:r>
        <w:rPr>
          <w:color w:val="000000"/>
        </w:rPr>
        <w:fldChar w:fldCharType="end"/>
      </w:r>
    </w:p>
    <w:p w14:paraId="1F49A69B">
      <w:pPr>
        <w:pStyle w:val="16"/>
        <w:tabs>
          <w:tab w:val="right" w:leader="dot" w:pos="9354"/>
        </w:tabs>
      </w:pPr>
      <w:r>
        <w:rPr>
          <w:color w:val="000000"/>
        </w:rPr>
        <w:fldChar w:fldCharType="begin"/>
      </w:r>
      <w:r>
        <w:instrText xml:space="preserve"> HYPERLINK \l _Toc4001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16.1 </w:t>
      </w:r>
      <w:r>
        <w:rPr>
          <w:rFonts w:hint="eastAsia"/>
        </w:rPr>
        <w:t>一般规定</w:t>
      </w:r>
      <w:r>
        <w:tab/>
      </w:r>
      <w:r>
        <w:fldChar w:fldCharType="begin"/>
      </w:r>
      <w:r>
        <w:instrText xml:space="preserve"> PAGEREF _Toc4001 \h </w:instrText>
      </w:r>
      <w:r>
        <w:fldChar w:fldCharType="separate"/>
      </w:r>
      <w:r>
        <w:t>29</w:t>
      </w:r>
      <w:r>
        <w:fldChar w:fldCharType="end"/>
      </w:r>
      <w:r>
        <w:rPr>
          <w:color w:val="000000"/>
        </w:rPr>
        <w:fldChar w:fldCharType="end"/>
      </w:r>
    </w:p>
    <w:p w14:paraId="4452BDBD">
      <w:pPr>
        <w:pStyle w:val="16"/>
        <w:tabs>
          <w:tab w:val="right" w:leader="dot" w:pos="9354"/>
        </w:tabs>
      </w:pPr>
      <w:r>
        <w:rPr>
          <w:color w:val="000000"/>
        </w:rPr>
        <w:fldChar w:fldCharType="begin"/>
      </w:r>
      <w:r>
        <w:instrText xml:space="preserve"> HYPERLINK \l _Toc13830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16.2 </w:t>
      </w:r>
      <w:r>
        <w:rPr>
          <w:rFonts w:hint="eastAsia"/>
        </w:rPr>
        <w:t>数智化管理咨询主要工作</w:t>
      </w:r>
      <w:r>
        <w:tab/>
      </w:r>
      <w:r>
        <w:fldChar w:fldCharType="begin"/>
      </w:r>
      <w:r>
        <w:instrText xml:space="preserve"> PAGEREF _Toc13830 \h </w:instrText>
      </w:r>
      <w:r>
        <w:fldChar w:fldCharType="separate"/>
      </w:r>
      <w:r>
        <w:t>29</w:t>
      </w:r>
      <w:r>
        <w:fldChar w:fldCharType="end"/>
      </w:r>
      <w:r>
        <w:rPr>
          <w:color w:val="000000"/>
        </w:rPr>
        <w:fldChar w:fldCharType="end"/>
      </w:r>
    </w:p>
    <w:p w14:paraId="6DAAC70C">
      <w:pPr>
        <w:pStyle w:val="14"/>
        <w:tabs>
          <w:tab w:val="right" w:leader="dot" w:pos="9354"/>
        </w:tabs>
      </w:pPr>
      <w:r>
        <w:rPr>
          <w:color w:val="000000"/>
        </w:rPr>
        <w:fldChar w:fldCharType="begin"/>
      </w:r>
      <w:r>
        <w:instrText xml:space="preserve"> HYPERLINK \l _Toc22137 </w:instrText>
      </w:r>
      <w:r>
        <w:fldChar w:fldCharType="separate"/>
      </w:r>
      <w:r>
        <w:rPr>
          <w:rFonts w:hint="eastAsia" w:ascii="黑体" w:eastAsia="黑体"/>
          <w:i w:val="0"/>
        </w:rPr>
        <w:t xml:space="preserve">17 </w:t>
      </w:r>
      <w:r>
        <w:rPr>
          <w:rFonts w:hint="eastAsia"/>
          <w:highlight w:val="none"/>
        </w:rPr>
        <w:t>绿色建造咨询</w:t>
      </w:r>
      <w:r>
        <w:tab/>
      </w:r>
      <w:r>
        <w:fldChar w:fldCharType="begin"/>
      </w:r>
      <w:r>
        <w:instrText xml:space="preserve"> PAGEREF _Toc22137 \h </w:instrText>
      </w:r>
      <w:r>
        <w:fldChar w:fldCharType="separate"/>
      </w:r>
      <w:r>
        <w:t>30</w:t>
      </w:r>
      <w:r>
        <w:fldChar w:fldCharType="end"/>
      </w:r>
      <w:r>
        <w:rPr>
          <w:color w:val="000000"/>
        </w:rPr>
        <w:fldChar w:fldCharType="end"/>
      </w:r>
    </w:p>
    <w:p w14:paraId="374211FA">
      <w:pPr>
        <w:pStyle w:val="16"/>
        <w:tabs>
          <w:tab w:val="right" w:leader="dot" w:pos="9354"/>
        </w:tabs>
      </w:pPr>
      <w:r>
        <w:rPr>
          <w:color w:val="000000"/>
        </w:rPr>
        <w:fldChar w:fldCharType="begin"/>
      </w:r>
      <w:r>
        <w:instrText xml:space="preserve"> HYPERLINK \l _Toc878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17.1 </w:t>
      </w:r>
      <w:r>
        <w:rPr>
          <w:rFonts w:hint="eastAsia"/>
          <w:highlight w:val="none"/>
        </w:rPr>
        <w:t>一般规定</w:t>
      </w:r>
      <w:r>
        <w:tab/>
      </w:r>
      <w:r>
        <w:fldChar w:fldCharType="begin"/>
      </w:r>
      <w:r>
        <w:instrText xml:space="preserve"> PAGEREF _Toc878 \h </w:instrText>
      </w:r>
      <w:r>
        <w:fldChar w:fldCharType="separate"/>
      </w:r>
      <w:r>
        <w:t>30</w:t>
      </w:r>
      <w:r>
        <w:fldChar w:fldCharType="end"/>
      </w:r>
      <w:r>
        <w:rPr>
          <w:color w:val="000000"/>
        </w:rPr>
        <w:fldChar w:fldCharType="end"/>
      </w:r>
    </w:p>
    <w:p w14:paraId="3F274519">
      <w:pPr>
        <w:pStyle w:val="16"/>
        <w:tabs>
          <w:tab w:val="right" w:leader="dot" w:pos="9354"/>
        </w:tabs>
      </w:pPr>
      <w:r>
        <w:rPr>
          <w:color w:val="000000"/>
        </w:rPr>
        <w:fldChar w:fldCharType="begin"/>
      </w:r>
      <w:r>
        <w:instrText xml:space="preserve"> HYPERLINK \l _Toc13844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17.2 </w:t>
      </w:r>
      <w:r>
        <w:rPr>
          <w:rFonts w:hint="eastAsia"/>
          <w:highlight w:val="none"/>
        </w:rPr>
        <w:t>绿色建造咨询主要工作</w:t>
      </w:r>
      <w:r>
        <w:tab/>
      </w:r>
      <w:r>
        <w:fldChar w:fldCharType="begin"/>
      </w:r>
      <w:r>
        <w:instrText xml:space="preserve"> PAGEREF _Toc13844 \h </w:instrText>
      </w:r>
      <w:r>
        <w:fldChar w:fldCharType="separate"/>
      </w:r>
      <w:r>
        <w:t>30</w:t>
      </w:r>
      <w:r>
        <w:fldChar w:fldCharType="end"/>
      </w:r>
      <w:r>
        <w:rPr>
          <w:color w:val="000000"/>
        </w:rPr>
        <w:fldChar w:fldCharType="end"/>
      </w:r>
    </w:p>
    <w:p w14:paraId="6600C7B8">
      <w:pPr>
        <w:pStyle w:val="14"/>
        <w:tabs>
          <w:tab w:val="right" w:leader="dot" w:pos="9354"/>
        </w:tabs>
      </w:pPr>
      <w:r>
        <w:rPr>
          <w:color w:val="000000"/>
        </w:rPr>
        <w:fldChar w:fldCharType="begin"/>
      </w:r>
      <w:r>
        <w:instrText xml:space="preserve"> HYPERLINK \l _Toc28483 </w:instrText>
      </w:r>
      <w:r>
        <w:fldChar w:fldCharType="separate"/>
      </w:r>
      <w:r>
        <w:rPr>
          <w:rFonts w:hint="eastAsia" w:ascii="黑体" w:eastAsia="黑体"/>
          <w:i w:val="0"/>
        </w:rPr>
        <w:t xml:space="preserve">18 </w:t>
      </w:r>
      <w:r>
        <w:rPr>
          <w:rFonts w:hint="eastAsia"/>
        </w:rPr>
        <w:t>新技术应用咨询</w:t>
      </w:r>
      <w:r>
        <w:tab/>
      </w:r>
      <w:r>
        <w:fldChar w:fldCharType="begin"/>
      </w:r>
      <w:r>
        <w:instrText xml:space="preserve"> PAGEREF _Toc28483 \h </w:instrText>
      </w:r>
      <w:r>
        <w:fldChar w:fldCharType="separate"/>
      </w:r>
      <w:r>
        <w:t>32</w:t>
      </w:r>
      <w:r>
        <w:fldChar w:fldCharType="end"/>
      </w:r>
      <w:r>
        <w:rPr>
          <w:color w:val="000000"/>
        </w:rPr>
        <w:fldChar w:fldCharType="end"/>
      </w:r>
    </w:p>
    <w:p w14:paraId="56720E6A">
      <w:pPr>
        <w:pStyle w:val="16"/>
        <w:tabs>
          <w:tab w:val="right" w:leader="dot" w:pos="9354"/>
        </w:tabs>
      </w:pPr>
      <w:r>
        <w:rPr>
          <w:color w:val="000000"/>
        </w:rPr>
        <w:fldChar w:fldCharType="begin"/>
      </w:r>
      <w:r>
        <w:instrText xml:space="preserve"> HYPERLINK \l _Toc21964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18.1 </w:t>
      </w:r>
      <w:r>
        <w:rPr>
          <w:rFonts w:hint="eastAsia"/>
        </w:rPr>
        <w:t>一般规定</w:t>
      </w:r>
      <w:r>
        <w:tab/>
      </w:r>
      <w:r>
        <w:fldChar w:fldCharType="begin"/>
      </w:r>
      <w:r>
        <w:instrText xml:space="preserve"> PAGEREF _Toc21964 \h </w:instrText>
      </w:r>
      <w:r>
        <w:fldChar w:fldCharType="separate"/>
      </w:r>
      <w:r>
        <w:t>32</w:t>
      </w:r>
      <w:r>
        <w:fldChar w:fldCharType="end"/>
      </w:r>
      <w:r>
        <w:rPr>
          <w:color w:val="000000"/>
        </w:rPr>
        <w:fldChar w:fldCharType="end"/>
      </w:r>
    </w:p>
    <w:p w14:paraId="09561945">
      <w:pPr>
        <w:pStyle w:val="16"/>
        <w:tabs>
          <w:tab w:val="right" w:leader="dot" w:pos="9354"/>
        </w:tabs>
      </w:pPr>
      <w:r>
        <w:rPr>
          <w:color w:val="000000"/>
        </w:rPr>
        <w:fldChar w:fldCharType="begin"/>
      </w:r>
      <w:r>
        <w:instrText xml:space="preserve"> HYPERLINK \l _Toc29441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18.2 </w:t>
      </w:r>
      <w:r>
        <w:rPr>
          <w:rFonts w:hint="eastAsia"/>
        </w:rPr>
        <w:t>新技术应用咨询主要工作</w:t>
      </w:r>
      <w:r>
        <w:tab/>
      </w:r>
      <w:r>
        <w:fldChar w:fldCharType="begin"/>
      </w:r>
      <w:r>
        <w:instrText xml:space="preserve"> PAGEREF _Toc29441 \h </w:instrText>
      </w:r>
      <w:r>
        <w:fldChar w:fldCharType="separate"/>
      </w:r>
      <w:r>
        <w:t>32</w:t>
      </w:r>
      <w:r>
        <w:fldChar w:fldCharType="end"/>
      </w:r>
      <w:r>
        <w:rPr>
          <w:color w:val="000000"/>
        </w:rPr>
        <w:fldChar w:fldCharType="end"/>
      </w:r>
    </w:p>
    <w:p w14:paraId="7E8CEF77">
      <w:pPr>
        <w:pStyle w:val="14"/>
        <w:tabs>
          <w:tab w:val="right" w:leader="dot" w:pos="9354"/>
        </w:tabs>
      </w:pPr>
      <w:r>
        <w:rPr>
          <w:color w:val="000000"/>
        </w:rPr>
        <w:fldChar w:fldCharType="begin"/>
      </w:r>
      <w:r>
        <w:instrText xml:space="preserve"> HYPERLINK \l _Toc4775 </w:instrText>
      </w:r>
      <w:r>
        <w:fldChar w:fldCharType="separate"/>
      </w:r>
      <w:r>
        <w:rPr>
          <w:rFonts w:hint="eastAsia" w:ascii="黑体" w:eastAsia="黑体"/>
          <w:i w:val="0"/>
        </w:rPr>
        <w:t xml:space="preserve">19 </w:t>
      </w:r>
      <w:r>
        <w:rPr>
          <w:rFonts w:hint="eastAsia"/>
        </w:rPr>
        <w:t>质量评价</w:t>
      </w:r>
      <w:r>
        <w:tab/>
      </w:r>
      <w:r>
        <w:fldChar w:fldCharType="begin"/>
      </w:r>
      <w:r>
        <w:instrText xml:space="preserve"> PAGEREF _Toc4775 \h </w:instrText>
      </w:r>
      <w:r>
        <w:fldChar w:fldCharType="separate"/>
      </w:r>
      <w:r>
        <w:t>32</w:t>
      </w:r>
      <w:r>
        <w:fldChar w:fldCharType="end"/>
      </w:r>
      <w:r>
        <w:rPr>
          <w:color w:val="000000"/>
        </w:rPr>
        <w:fldChar w:fldCharType="end"/>
      </w:r>
    </w:p>
    <w:p w14:paraId="256B18B9">
      <w:pPr>
        <w:pStyle w:val="16"/>
        <w:tabs>
          <w:tab w:val="right" w:leader="dot" w:pos="9354"/>
        </w:tabs>
      </w:pPr>
      <w:r>
        <w:rPr>
          <w:color w:val="000000"/>
        </w:rPr>
        <w:fldChar w:fldCharType="begin"/>
      </w:r>
      <w:r>
        <w:instrText xml:space="preserve"> HYPERLINK \l _Toc20697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19.1 </w:t>
      </w:r>
      <w:r>
        <w:rPr>
          <w:rFonts w:hint="eastAsia"/>
        </w:rPr>
        <w:t>一般规定</w:t>
      </w:r>
      <w:r>
        <w:tab/>
      </w:r>
      <w:r>
        <w:fldChar w:fldCharType="begin"/>
      </w:r>
      <w:r>
        <w:instrText xml:space="preserve"> PAGEREF _Toc20697 \h </w:instrText>
      </w:r>
      <w:r>
        <w:fldChar w:fldCharType="separate"/>
      </w:r>
      <w:r>
        <w:t>32</w:t>
      </w:r>
      <w:r>
        <w:fldChar w:fldCharType="end"/>
      </w:r>
      <w:r>
        <w:rPr>
          <w:color w:val="000000"/>
        </w:rPr>
        <w:fldChar w:fldCharType="end"/>
      </w:r>
    </w:p>
    <w:p w14:paraId="6D84A787">
      <w:pPr>
        <w:pStyle w:val="16"/>
        <w:tabs>
          <w:tab w:val="right" w:leader="dot" w:pos="9354"/>
        </w:tabs>
      </w:pPr>
      <w:r>
        <w:rPr>
          <w:color w:val="000000"/>
        </w:rPr>
        <w:fldChar w:fldCharType="begin"/>
      </w:r>
      <w:r>
        <w:instrText xml:space="preserve"> HYPERLINK \l _Toc30215 </w:instrText>
      </w:r>
      <w:r>
        <w:fldChar w:fldCharType="separate"/>
      </w:r>
      <w:r>
        <w:rPr>
          <w:rFonts w:hint="eastAsia"/>
        </w:rPr>
        <w:t>质量评价主要工作</w:t>
      </w:r>
      <w:r>
        <w:tab/>
      </w:r>
      <w:r>
        <w:fldChar w:fldCharType="begin"/>
      </w:r>
      <w:r>
        <w:instrText xml:space="preserve"> PAGEREF _Toc30215 \h </w:instrText>
      </w:r>
      <w:r>
        <w:fldChar w:fldCharType="separate"/>
      </w:r>
      <w:r>
        <w:t>32</w:t>
      </w:r>
      <w:r>
        <w:fldChar w:fldCharType="end"/>
      </w:r>
      <w:r>
        <w:rPr>
          <w:color w:val="000000"/>
        </w:rPr>
        <w:fldChar w:fldCharType="end"/>
      </w:r>
    </w:p>
    <w:p w14:paraId="785159D3">
      <w:pPr>
        <w:pStyle w:val="14"/>
        <w:tabs>
          <w:tab w:val="right" w:leader="dot" w:pos="9354"/>
        </w:tabs>
      </w:pPr>
      <w:r>
        <w:rPr>
          <w:color w:val="000000"/>
        </w:rPr>
        <w:fldChar w:fldCharType="begin"/>
      </w:r>
      <w:r>
        <w:instrText xml:space="preserve"> HYPERLINK \l _Toc418 </w:instrText>
      </w:r>
      <w:r>
        <w:fldChar w:fldCharType="separate"/>
      </w:r>
      <w:r>
        <w:rPr>
          <w:rFonts w:hint="eastAsia" w:ascii="黑体" w:eastAsia="黑体"/>
          <w:i w:val="0"/>
        </w:rPr>
        <w:t xml:space="preserve">20 </w:t>
      </w:r>
      <w:r>
        <w:rPr>
          <w:rFonts w:hint="eastAsia"/>
        </w:rPr>
        <w:t>项目后评价</w:t>
      </w:r>
      <w:r>
        <w:tab/>
      </w:r>
      <w:r>
        <w:fldChar w:fldCharType="begin"/>
      </w:r>
      <w:r>
        <w:instrText xml:space="preserve"> PAGEREF _Toc418 \h </w:instrText>
      </w:r>
      <w:r>
        <w:fldChar w:fldCharType="separate"/>
      </w:r>
      <w:r>
        <w:t>33</w:t>
      </w:r>
      <w:r>
        <w:fldChar w:fldCharType="end"/>
      </w:r>
      <w:r>
        <w:rPr>
          <w:color w:val="000000"/>
        </w:rPr>
        <w:fldChar w:fldCharType="end"/>
      </w:r>
    </w:p>
    <w:p w14:paraId="6BC36CA7">
      <w:pPr>
        <w:pStyle w:val="16"/>
        <w:tabs>
          <w:tab w:val="right" w:leader="dot" w:pos="9354"/>
        </w:tabs>
      </w:pPr>
      <w:r>
        <w:rPr>
          <w:color w:val="000000"/>
        </w:rPr>
        <w:fldChar w:fldCharType="begin"/>
      </w:r>
      <w:r>
        <w:instrText xml:space="preserve"> HYPERLINK \l _Toc24083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20.1 </w:t>
      </w:r>
      <w:r>
        <w:rPr>
          <w:rFonts w:hint="eastAsia"/>
        </w:rPr>
        <w:t>一般规定</w:t>
      </w:r>
      <w:r>
        <w:tab/>
      </w:r>
      <w:r>
        <w:fldChar w:fldCharType="begin"/>
      </w:r>
      <w:r>
        <w:instrText xml:space="preserve"> PAGEREF _Toc24083 \h </w:instrText>
      </w:r>
      <w:r>
        <w:fldChar w:fldCharType="separate"/>
      </w:r>
      <w:r>
        <w:t>33</w:t>
      </w:r>
      <w:r>
        <w:fldChar w:fldCharType="end"/>
      </w:r>
      <w:r>
        <w:rPr>
          <w:color w:val="000000"/>
        </w:rPr>
        <w:fldChar w:fldCharType="end"/>
      </w:r>
    </w:p>
    <w:p w14:paraId="23F634FB">
      <w:pPr>
        <w:pStyle w:val="16"/>
        <w:tabs>
          <w:tab w:val="right" w:leader="dot" w:pos="9354"/>
        </w:tabs>
      </w:pPr>
      <w:r>
        <w:rPr>
          <w:color w:val="000000"/>
        </w:rPr>
        <w:fldChar w:fldCharType="begin"/>
      </w:r>
      <w:r>
        <w:instrText xml:space="preserve"> HYPERLINK \l _Toc14567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20.2 </w:t>
      </w:r>
      <w:r>
        <w:rPr>
          <w:rFonts w:hint="eastAsia"/>
        </w:rPr>
        <w:t>项目后评价主要工作</w:t>
      </w:r>
      <w:r>
        <w:tab/>
      </w:r>
      <w:r>
        <w:fldChar w:fldCharType="begin"/>
      </w:r>
      <w:r>
        <w:instrText xml:space="preserve"> PAGEREF _Toc14567 \h </w:instrText>
      </w:r>
      <w:r>
        <w:fldChar w:fldCharType="separate"/>
      </w:r>
      <w:r>
        <w:t>33</w:t>
      </w:r>
      <w:r>
        <w:fldChar w:fldCharType="end"/>
      </w:r>
      <w:r>
        <w:rPr>
          <w:color w:val="000000"/>
        </w:rPr>
        <w:fldChar w:fldCharType="end"/>
      </w:r>
    </w:p>
    <w:p w14:paraId="3C6D6072">
      <w:pPr>
        <w:pStyle w:val="14"/>
        <w:tabs>
          <w:tab w:val="right" w:leader="dot" w:pos="9354"/>
        </w:tabs>
      </w:pPr>
      <w:r>
        <w:rPr>
          <w:color w:val="000000"/>
        </w:rPr>
        <w:fldChar w:fldCharType="begin"/>
      </w:r>
      <w:r>
        <w:instrText xml:space="preserve"> HYPERLINK \l _Toc20005 </w:instrText>
      </w:r>
      <w:r>
        <w:fldChar w:fldCharType="separate"/>
      </w:r>
      <w:r>
        <w:rPr>
          <w:rFonts w:hint="eastAsia" w:ascii="黑体" w:eastAsia="黑体"/>
          <w:i w:val="0"/>
        </w:rPr>
        <w:t xml:space="preserve">21 </w:t>
      </w:r>
      <w:r>
        <w:rPr>
          <w:rFonts w:hint="eastAsia"/>
        </w:rPr>
        <w:t>其他咨询</w:t>
      </w:r>
      <w:r>
        <w:tab/>
      </w:r>
      <w:r>
        <w:fldChar w:fldCharType="begin"/>
      </w:r>
      <w:r>
        <w:instrText xml:space="preserve"> PAGEREF _Toc20005 \h </w:instrText>
      </w:r>
      <w:r>
        <w:fldChar w:fldCharType="separate"/>
      </w:r>
      <w:r>
        <w:t>33</w:t>
      </w:r>
      <w:r>
        <w:fldChar w:fldCharType="end"/>
      </w:r>
      <w:r>
        <w:rPr>
          <w:color w:val="000000"/>
        </w:rPr>
        <w:fldChar w:fldCharType="end"/>
      </w:r>
    </w:p>
    <w:p w14:paraId="250CD560">
      <w:pPr>
        <w:pStyle w:val="16"/>
        <w:tabs>
          <w:tab w:val="right" w:leader="dot" w:pos="9354"/>
        </w:tabs>
      </w:pPr>
      <w:r>
        <w:rPr>
          <w:color w:val="000000"/>
        </w:rPr>
        <w:fldChar w:fldCharType="begin"/>
      </w:r>
      <w:r>
        <w:instrText xml:space="preserve"> HYPERLINK \l _Toc31408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21.1 </w:t>
      </w:r>
      <w:r>
        <w:rPr>
          <w:rFonts w:hint="eastAsia"/>
        </w:rPr>
        <w:t>合规性手续申办咨询</w:t>
      </w:r>
      <w:r>
        <w:tab/>
      </w:r>
      <w:r>
        <w:fldChar w:fldCharType="begin"/>
      </w:r>
      <w:r>
        <w:instrText xml:space="preserve"> PAGEREF _Toc31408 \h </w:instrText>
      </w:r>
      <w:r>
        <w:fldChar w:fldCharType="separate"/>
      </w:r>
      <w:r>
        <w:t>33</w:t>
      </w:r>
      <w:r>
        <w:fldChar w:fldCharType="end"/>
      </w:r>
      <w:r>
        <w:rPr>
          <w:color w:val="000000"/>
        </w:rPr>
        <w:fldChar w:fldCharType="end"/>
      </w:r>
    </w:p>
    <w:p w14:paraId="08EBB91F">
      <w:pPr>
        <w:pStyle w:val="16"/>
        <w:tabs>
          <w:tab w:val="right" w:leader="dot" w:pos="9354"/>
        </w:tabs>
      </w:pPr>
      <w:r>
        <w:rPr>
          <w:color w:val="000000"/>
        </w:rPr>
        <w:fldChar w:fldCharType="begin"/>
      </w:r>
      <w:r>
        <w:instrText xml:space="preserve"> HYPERLINK \l _Toc22507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21.2 </w:t>
      </w:r>
      <w:r>
        <w:rPr>
          <w:rFonts w:hint="eastAsia"/>
        </w:rPr>
        <w:t>运行维护咨询</w:t>
      </w:r>
      <w:r>
        <w:tab/>
      </w:r>
      <w:r>
        <w:fldChar w:fldCharType="begin"/>
      </w:r>
      <w:r>
        <w:instrText xml:space="preserve"> PAGEREF _Toc22507 \h </w:instrText>
      </w:r>
      <w:r>
        <w:fldChar w:fldCharType="separate"/>
      </w:r>
      <w:r>
        <w:t>35</w:t>
      </w:r>
      <w:r>
        <w:fldChar w:fldCharType="end"/>
      </w:r>
      <w:r>
        <w:rPr>
          <w:color w:val="000000"/>
        </w:rPr>
        <w:fldChar w:fldCharType="end"/>
      </w:r>
    </w:p>
    <w:p w14:paraId="310428BB">
      <w:pPr>
        <w:pStyle w:val="16"/>
        <w:tabs>
          <w:tab w:val="right" w:leader="dot" w:pos="9354"/>
        </w:tabs>
      </w:pPr>
      <w:r>
        <w:rPr>
          <w:color w:val="000000"/>
        </w:rPr>
        <w:fldChar w:fldCharType="begin"/>
      </w:r>
      <w:r>
        <w:instrText xml:space="preserve"> HYPERLINK \l _Toc24724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21.3 </w:t>
      </w:r>
      <w:r>
        <w:rPr>
          <w:rFonts w:hint="eastAsia"/>
        </w:rPr>
        <w:t>第三方安全督查</w:t>
      </w:r>
      <w:r>
        <w:tab/>
      </w:r>
      <w:r>
        <w:fldChar w:fldCharType="begin"/>
      </w:r>
      <w:r>
        <w:instrText xml:space="preserve"> PAGEREF _Toc24724 \h </w:instrText>
      </w:r>
      <w:r>
        <w:fldChar w:fldCharType="separate"/>
      </w:r>
      <w:r>
        <w:t>36</w:t>
      </w:r>
      <w:r>
        <w:fldChar w:fldCharType="end"/>
      </w:r>
      <w:r>
        <w:rPr>
          <w:color w:val="000000"/>
        </w:rPr>
        <w:fldChar w:fldCharType="end"/>
      </w:r>
    </w:p>
    <w:p w14:paraId="6C397B79">
      <w:pPr>
        <w:pStyle w:val="16"/>
        <w:tabs>
          <w:tab w:val="right" w:leader="dot" w:pos="9354"/>
        </w:tabs>
      </w:pPr>
      <w:r>
        <w:rPr>
          <w:color w:val="000000"/>
        </w:rPr>
        <w:fldChar w:fldCharType="begin"/>
      </w:r>
      <w:r>
        <w:instrText xml:space="preserve"> HYPERLINK \l _Toc19138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21.4 </w:t>
      </w:r>
      <w:r>
        <w:rPr>
          <w:rFonts w:hint="eastAsia"/>
        </w:rPr>
        <w:t>安全生产标准化咨询</w:t>
      </w:r>
      <w:r>
        <w:tab/>
      </w:r>
      <w:r>
        <w:fldChar w:fldCharType="begin"/>
      </w:r>
      <w:r>
        <w:instrText xml:space="preserve"> PAGEREF _Toc19138 \h </w:instrText>
      </w:r>
      <w:r>
        <w:fldChar w:fldCharType="separate"/>
      </w:r>
      <w:r>
        <w:t>36</w:t>
      </w:r>
      <w:r>
        <w:fldChar w:fldCharType="end"/>
      </w:r>
      <w:r>
        <w:rPr>
          <w:color w:val="000000"/>
        </w:rPr>
        <w:fldChar w:fldCharType="end"/>
      </w:r>
    </w:p>
    <w:p w14:paraId="63AD9A47">
      <w:pPr>
        <w:pStyle w:val="16"/>
        <w:tabs>
          <w:tab w:val="right" w:leader="dot" w:pos="9354"/>
        </w:tabs>
      </w:pPr>
      <w:r>
        <w:rPr>
          <w:color w:val="000000"/>
        </w:rPr>
        <w:fldChar w:fldCharType="begin"/>
      </w:r>
      <w:r>
        <w:instrText xml:space="preserve"> HYPERLINK \l _Toc4138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21.5 </w:t>
      </w:r>
      <w:r>
        <w:rPr>
          <w:rFonts w:hint="eastAsia"/>
        </w:rPr>
        <w:t>质量提升咨询</w:t>
      </w:r>
      <w:r>
        <w:tab/>
      </w:r>
      <w:r>
        <w:fldChar w:fldCharType="begin"/>
      </w:r>
      <w:r>
        <w:instrText xml:space="preserve"> PAGEREF _Toc4138 \h </w:instrText>
      </w:r>
      <w:r>
        <w:fldChar w:fldCharType="separate"/>
      </w:r>
      <w:r>
        <w:t>37</w:t>
      </w:r>
      <w:r>
        <w:fldChar w:fldCharType="end"/>
      </w:r>
      <w:r>
        <w:rPr>
          <w:color w:val="000000"/>
        </w:rPr>
        <w:fldChar w:fldCharType="end"/>
      </w:r>
    </w:p>
    <w:p w14:paraId="5E158275">
      <w:pPr>
        <w:pStyle w:val="16"/>
        <w:tabs>
          <w:tab w:val="right" w:leader="dot" w:pos="9354"/>
        </w:tabs>
      </w:pPr>
      <w:r>
        <w:rPr>
          <w:color w:val="000000"/>
        </w:rPr>
        <w:fldChar w:fldCharType="begin"/>
      </w:r>
      <w:r>
        <w:instrText xml:space="preserve"> HYPERLINK \l _Toc17095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21.6 </w:t>
      </w:r>
      <w:r>
        <w:rPr>
          <w:rFonts w:hint="eastAsia"/>
        </w:rPr>
        <w:t>设计评审</w:t>
      </w:r>
      <w:r>
        <w:tab/>
      </w:r>
      <w:r>
        <w:fldChar w:fldCharType="begin"/>
      </w:r>
      <w:r>
        <w:instrText xml:space="preserve"> PAGEREF _Toc17095 \h </w:instrText>
      </w:r>
      <w:r>
        <w:fldChar w:fldCharType="separate"/>
      </w:r>
      <w:r>
        <w:t>38</w:t>
      </w:r>
      <w:r>
        <w:fldChar w:fldCharType="end"/>
      </w:r>
      <w:r>
        <w:rPr>
          <w:color w:val="000000"/>
        </w:rPr>
        <w:fldChar w:fldCharType="end"/>
      </w:r>
    </w:p>
    <w:p w14:paraId="501A275B">
      <w:pPr>
        <w:pStyle w:val="16"/>
        <w:tabs>
          <w:tab w:val="right" w:leader="dot" w:pos="9354"/>
        </w:tabs>
      </w:pPr>
      <w:r>
        <w:rPr>
          <w:color w:val="000000"/>
        </w:rPr>
        <w:fldChar w:fldCharType="begin"/>
      </w:r>
      <w:r>
        <w:instrText xml:space="preserve"> HYPERLINK \l _Toc13924 </w:instrText>
      </w:r>
      <w:r>
        <w:fldChar w:fldCharType="separate"/>
      </w:r>
      <w:r>
        <w:rPr>
          <w:rFonts w:hint="default" w:ascii="宋体" w:hAnsi="宋体" w:eastAsia="宋体" w:cs="宋体"/>
          <w:bCs w:val="0"/>
          <w:i w:val="0"/>
          <w:iCs w:val="0"/>
          <w:caps w:val="0"/>
          <w:smallCaps w:val="0"/>
          <w:strike w:val="0"/>
          <w:dstrike w:val="0"/>
          <w:vanish w:val="0"/>
          <w:spacing w:val="0"/>
          <w:kern w:val="0"/>
          <w:position w:val="0"/>
          <w:vertAlign w:val="baseline"/>
        </w:rPr>
        <w:t xml:space="preserve">21.7 </w:t>
      </w:r>
      <w:r>
        <w:rPr>
          <w:rFonts w:hint="eastAsia"/>
          <w:lang w:val="en-US" w:eastAsia="zh-CN"/>
        </w:rPr>
        <w:t>ESG</w:t>
      </w:r>
      <w:r>
        <w:rPr>
          <w:rFonts w:hint="eastAsia"/>
        </w:rPr>
        <w:t>评</w:t>
      </w:r>
      <w:r>
        <w:rPr>
          <w:rFonts w:hint="eastAsia"/>
          <w:lang w:val="en-US" w:eastAsia="zh-CN"/>
        </w:rPr>
        <w:t>价</w:t>
      </w:r>
      <w:r>
        <w:tab/>
      </w:r>
      <w:r>
        <w:fldChar w:fldCharType="begin"/>
      </w:r>
      <w:r>
        <w:instrText xml:space="preserve"> PAGEREF _Toc13924 \h </w:instrText>
      </w:r>
      <w:r>
        <w:fldChar w:fldCharType="separate"/>
      </w:r>
      <w:r>
        <w:t>39</w:t>
      </w:r>
      <w:r>
        <w:fldChar w:fldCharType="end"/>
      </w:r>
      <w:r>
        <w:rPr>
          <w:color w:val="000000"/>
        </w:rPr>
        <w:fldChar w:fldCharType="end"/>
      </w:r>
    </w:p>
    <w:p w14:paraId="3BD42FAA">
      <w:pPr>
        <w:pStyle w:val="14"/>
        <w:tabs>
          <w:tab w:val="right" w:leader="dot" w:pos="9354"/>
        </w:tabs>
      </w:pPr>
      <w:r>
        <w:rPr>
          <w:color w:val="000000"/>
        </w:rPr>
        <w:fldChar w:fldCharType="begin"/>
      </w:r>
      <w:r>
        <w:instrText xml:space="preserve"> HYPERLINK \l _Toc15715 </w:instrText>
      </w:r>
      <w:r>
        <w:fldChar w:fldCharType="separate"/>
      </w:r>
      <w:r>
        <w:rPr>
          <w:rFonts w:hint="eastAsia"/>
          <w:spacing w:val="100"/>
        </w:rPr>
        <w:t xml:space="preserve">附录A </w:t>
      </w:r>
      <w:r>
        <w:t xml:space="preserve"> </w:t>
      </w:r>
      <w:r>
        <w:rPr>
          <w:rFonts w:hint="eastAsia"/>
        </w:rPr>
        <w:t>（规范性）</w:t>
      </w:r>
      <w:r>
        <w:t xml:space="preserve"> </w:t>
      </w:r>
      <w:r>
        <w:rPr>
          <w:rFonts w:hint="eastAsia"/>
        </w:rPr>
        <w:t>光伏发电工程全过程工程咨询服务清单</w:t>
      </w:r>
      <w:r>
        <w:tab/>
      </w:r>
      <w:r>
        <w:fldChar w:fldCharType="begin"/>
      </w:r>
      <w:r>
        <w:instrText xml:space="preserve"> PAGEREF _Toc15715 \h </w:instrText>
      </w:r>
      <w:r>
        <w:fldChar w:fldCharType="separate"/>
      </w:r>
      <w:r>
        <w:t>41</w:t>
      </w:r>
      <w:r>
        <w:fldChar w:fldCharType="end"/>
      </w:r>
      <w:r>
        <w:rPr>
          <w:color w:val="000000"/>
        </w:rPr>
        <w:fldChar w:fldCharType="end"/>
      </w:r>
    </w:p>
    <w:p w14:paraId="310D55AA">
      <w:pPr>
        <w:pStyle w:val="14"/>
        <w:tabs>
          <w:tab w:val="right" w:leader="dot" w:pos="9354"/>
        </w:tabs>
      </w:pPr>
      <w:r>
        <w:rPr>
          <w:color w:val="000000"/>
        </w:rPr>
        <w:fldChar w:fldCharType="begin"/>
      </w:r>
      <w:r>
        <w:instrText xml:space="preserve"> HYPERLINK \l _Toc13907 </w:instrText>
      </w:r>
      <w:r>
        <w:fldChar w:fldCharType="separate"/>
      </w:r>
      <w:r>
        <w:rPr>
          <w:rFonts w:hint="eastAsia"/>
          <w:spacing w:val="105"/>
        </w:rPr>
        <w:t>参考文</w:t>
      </w:r>
      <w:r>
        <w:rPr>
          <w:rFonts w:hint="eastAsia"/>
        </w:rPr>
        <w:t>献</w:t>
      </w:r>
      <w:r>
        <w:tab/>
      </w:r>
      <w:r>
        <w:fldChar w:fldCharType="begin"/>
      </w:r>
      <w:r>
        <w:instrText xml:space="preserve"> PAGEREF _Toc13907 \h </w:instrText>
      </w:r>
      <w:r>
        <w:fldChar w:fldCharType="separate"/>
      </w:r>
      <w:r>
        <w:t>44</w:t>
      </w:r>
      <w:r>
        <w:fldChar w:fldCharType="end"/>
      </w:r>
      <w:r>
        <w:rPr>
          <w:color w:val="000000"/>
        </w:rPr>
        <w:fldChar w:fldCharType="end"/>
      </w:r>
    </w:p>
    <w:p w14:paraId="06575375">
      <w:pPr>
        <w:pStyle w:val="61"/>
        <w:spacing w:after="360"/>
        <w:rPr>
          <w:color w:val="000000"/>
        </w:rPr>
        <w:sectPr>
          <w:headerReference r:id="rId5" w:type="default"/>
          <w:footerReference r:id="rId7" w:type="default"/>
          <w:headerReference r:id="rId6" w:type="even"/>
          <w:footerReference r:id="rId8" w:type="even"/>
          <w:pgSz w:w="11906" w:h="16838"/>
          <w:pgMar w:top="1928" w:right="1134" w:bottom="1134" w:left="1134" w:header="1418" w:footer="1134" w:gutter="284"/>
          <w:pgNumType w:fmt="upperRoman" w:start="1"/>
          <w:cols w:space="720" w:num="1"/>
          <w:formProt w:val="0"/>
          <w:docGrid w:linePitch="312" w:charSpace="0"/>
        </w:sectPr>
      </w:pPr>
      <w:r>
        <w:rPr>
          <w:color w:val="000000"/>
        </w:rPr>
        <w:fldChar w:fldCharType="end"/>
      </w:r>
    </w:p>
    <w:bookmarkEnd w:id="4"/>
    <w:bookmarkEnd w:id="5"/>
    <w:bookmarkEnd w:id="6"/>
    <w:bookmarkEnd w:id="7"/>
    <w:bookmarkEnd w:id="8"/>
    <w:bookmarkEnd w:id="9"/>
    <w:p w14:paraId="4044CC9B">
      <w:pPr>
        <w:pStyle w:val="62"/>
        <w:spacing w:before="900" w:after="360"/>
        <w:rPr>
          <w:color w:val="000000"/>
        </w:rPr>
      </w:pPr>
      <w:bookmarkStart w:id="10" w:name="_Toc18212"/>
      <w:bookmarkStart w:id="11" w:name="_Toc12953"/>
      <w:bookmarkStart w:id="12" w:name="BookMark2"/>
      <w:r>
        <w:rPr>
          <w:color w:val="000000"/>
          <w:spacing w:val="320"/>
        </w:rPr>
        <w:t>前</w:t>
      </w:r>
      <w:r>
        <w:rPr>
          <w:color w:val="000000"/>
        </w:rPr>
        <w:t>言</w:t>
      </w:r>
      <w:bookmarkEnd w:id="10"/>
      <w:bookmarkEnd w:id="11"/>
    </w:p>
    <w:p w14:paraId="566B1FFC">
      <w:pPr>
        <w:pStyle w:val="32"/>
        <w:ind w:firstLine="420"/>
        <w:rPr>
          <w:color w:val="000000"/>
        </w:rPr>
      </w:pPr>
      <w:r>
        <w:rPr>
          <w:rFonts w:hint="eastAsia"/>
          <w:color w:val="000000"/>
        </w:rPr>
        <w:t>本文件按照GB/T 1.1-2020《标准化工作导则  第1部分：标准化文件的结构和起草规则》的规定起草。</w:t>
      </w:r>
    </w:p>
    <w:p w14:paraId="67F47439">
      <w:pPr>
        <w:pStyle w:val="32"/>
        <w:ind w:firstLine="420"/>
        <w:rPr>
          <w:rFonts w:hint="eastAsia"/>
          <w:color w:val="000000"/>
        </w:rPr>
      </w:pPr>
      <w:r>
        <w:rPr>
          <w:rFonts w:hint="eastAsia"/>
          <w:color w:val="000000"/>
        </w:rPr>
        <w:t>本文件是 T/CEPCA 1001《电力建设全过程工程咨询导则》的第4部分。T/CEPCA 1001已经发布了以下部分:</w:t>
      </w:r>
    </w:p>
    <w:p w14:paraId="2C81DA81">
      <w:pPr>
        <w:pStyle w:val="32"/>
        <w:ind w:firstLine="420"/>
        <w:rPr>
          <w:rFonts w:hint="eastAsia"/>
          <w:color w:val="000000"/>
        </w:rPr>
      </w:pPr>
      <w:r>
        <w:rPr>
          <w:rFonts w:hint="eastAsia"/>
          <w:color w:val="000000"/>
        </w:rPr>
        <w:t>———第1部分:输变电工程;</w:t>
      </w:r>
    </w:p>
    <w:p w14:paraId="3DC2B1A2">
      <w:pPr>
        <w:pStyle w:val="32"/>
        <w:ind w:firstLine="420"/>
        <w:rPr>
          <w:rFonts w:hint="eastAsia"/>
          <w:color w:val="000000"/>
        </w:rPr>
      </w:pPr>
      <w:r>
        <w:rPr>
          <w:rFonts w:hint="eastAsia"/>
          <w:color w:val="000000"/>
        </w:rPr>
        <w:t>———第2部分:火力发电工程;</w:t>
      </w:r>
    </w:p>
    <w:p w14:paraId="44193B80">
      <w:pPr>
        <w:pStyle w:val="32"/>
        <w:ind w:firstLine="420"/>
        <w:rPr>
          <w:rFonts w:hint="eastAsia"/>
          <w:color w:val="000000"/>
        </w:rPr>
      </w:pPr>
      <w:r>
        <w:rPr>
          <w:rFonts w:hint="eastAsia"/>
          <w:color w:val="000000"/>
        </w:rPr>
        <w:t>———第3部分:风力发电工程;</w:t>
      </w:r>
    </w:p>
    <w:p w14:paraId="48404A36">
      <w:pPr>
        <w:pStyle w:val="32"/>
        <w:ind w:firstLine="420"/>
        <w:rPr>
          <w:rFonts w:hint="eastAsia"/>
          <w:color w:val="000000"/>
        </w:rPr>
      </w:pPr>
      <w:r>
        <w:rPr>
          <w:rFonts w:hint="eastAsia"/>
          <w:color w:val="000000"/>
        </w:rPr>
        <w:t>———第4部分:光伏发电工程。</w:t>
      </w:r>
    </w:p>
    <w:p w14:paraId="41C1E3E2">
      <w:pPr>
        <w:pStyle w:val="32"/>
        <w:ind w:firstLine="420"/>
        <w:rPr>
          <w:color w:val="000000"/>
        </w:rPr>
      </w:pPr>
      <w:r>
        <w:rPr>
          <w:rFonts w:hint="eastAsia"/>
          <w:color w:val="000000"/>
        </w:rPr>
        <w:t>请注意本文件的某些内容可能涉及专利。本文件的发布机构不承担识别专利的责任。</w:t>
      </w:r>
    </w:p>
    <w:p w14:paraId="7BC62873">
      <w:pPr>
        <w:pStyle w:val="32"/>
        <w:ind w:firstLine="420"/>
        <w:rPr>
          <w:color w:val="000000"/>
        </w:rPr>
      </w:pPr>
      <w:r>
        <w:rPr>
          <w:rFonts w:hint="eastAsia"/>
          <w:color w:val="000000"/>
        </w:rPr>
        <w:t>本文件由中国电力建设企业协会提出。</w:t>
      </w:r>
    </w:p>
    <w:p w14:paraId="39E20FB5">
      <w:pPr>
        <w:pStyle w:val="32"/>
        <w:ind w:firstLine="420"/>
        <w:rPr>
          <w:color w:val="000000"/>
        </w:rPr>
      </w:pPr>
      <w:r>
        <w:rPr>
          <w:rFonts w:hint="eastAsia"/>
          <w:color w:val="000000"/>
        </w:rPr>
        <w:t>本文件由中国电力建设企业协会标准化管理委员会归口。</w:t>
      </w:r>
    </w:p>
    <w:p w14:paraId="4903C15B">
      <w:pPr>
        <w:pStyle w:val="32"/>
        <w:ind w:firstLine="420"/>
        <w:rPr>
          <w:color w:val="000000"/>
        </w:rPr>
      </w:pPr>
      <w:r>
        <w:rPr>
          <w:rFonts w:hint="eastAsia"/>
          <w:color w:val="000000"/>
        </w:rPr>
        <w:t>本文件起草单位：</w:t>
      </w:r>
    </w:p>
    <w:p w14:paraId="557A122F">
      <w:pPr>
        <w:pStyle w:val="32"/>
        <w:ind w:firstLine="420"/>
        <w:rPr>
          <w:color w:val="000000"/>
        </w:rPr>
      </w:pPr>
      <w:r>
        <w:rPr>
          <w:rFonts w:hint="eastAsia"/>
          <w:color w:val="000000"/>
        </w:rPr>
        <w:t>本文件主要起草人：</w:t>
      </w:r>
    </w:p>
    <w:p w14:paraId="0FBEF678">
      <w:pPr>
        <w:pStyle w:val="32"/>
        <w:ind w:firstLine="420"/>
        <w:rPr>
          <w:color w:val="000000"/>
        </w:rPr>
      </w:pPr>
      <w:r>
        <w:rPr>
          <w:rFonts w:hint="eastAsia"/>
          <w:color w:val="000000"/>
        </w:rPr>
        <w:t>本文件在执行过程中的意见或建议反馈至中国电力建设企业协会（北京市丰台区西四环南路35号中都科技大厦3层）。</w:t>
      </w:r>
    </w:p>
    <w:p w14:paraId="063A1922">
      <w:pPr>
        <w:pStyle w:val="32"/>
        <w:ind w:firstLine="420"/>
        <w:rPr>
          <w:color w:val="000000"/>
        </w:rPr>
      </w:pPr>
    </w:p>
    <w:p w14:paraId="4091C739">
      <w:pPr>
        <w:pStyle w:val="32"/>
        <w:ind w:firstLine="420"/>
        <w:rPr>
          <w:color w:val="000000"/>
        </w:rPr>
        <w:sectPr>
          <w:pgSz w:w="11906" w:h="16838"/>
          <w:pgMar w:top="1928" w:right="1134" w:bottom="1134" w:left="1134" w:header="1418" w:footer="1134" w:gutter="284"/>
          <w:pgNumType w:fmt="upperRoman"/>
          <w:cols w:space="720" w:num="1"/>
          <w:formProt w:val="0"/>
          <w:docGrid w:linePitch="312" w:charSpace="0"/>
        </w:sectPr>
      </w:pPr>
    </w:p>
    <w:bookmarkEnd w:id="12"/>
    <w:p w14:paraId="1A1F5C96">
      <w:pPr>
        <w:pStyle w:val="62"/>
        <w:spacing w:after="360"/>
        <w:rPr>
          <w:color w:val="000000"/>
        </w:rPr>
      </w:pPr>
      <w:bookmarkStart w:id="13" w:name="_Toc18709"/>
      <w:bookmarkStart w:id="14" w:name="_Toc155628764"/>
      <w:bookmarkStart w:id="15" w:name="_Toc155604540"/>
      <w:bookmarkStart w:id="16" w:name="_Toc155714320"/>
      <w:bookmarkStart w:id="17" w:name="_Toc155628701"/>
      <w:bookmarkStart w:id="18" w:name="_Toc5878"/>
      <w:bookmarkStart w:id="19" w:name="_Toc155714260"/>
      <w:bookmarkStart w:id="20" w:name="BookMark3"/>
      <w:r>
        <w:rPr>
          <w:color w:val="000000"/>
          <w:spacing w:val="320"/>
        </w:rPr>
        <w:t>引</w:t>
      </w:r>
      <w:r>
        <w:rPr>
          <w:color w:val="000000"/>
        </w:rPr>
        <w:t>言</w:t>
      </w:r>
      <w:bookmarkEnd w:id="13"/>
      <w:bookmarkEnd w:id="14"/>
      <w:bookmarkEnd w:id="15"/>
      <w:bookmarkEnd w:id="16"/>
      <w:bookmarkEnd w:id="17"/>
      <w:bookmarkEnd w:id="18"/>
      <w:bookmarkEnd w:id="19"/>
    </w:p>
    <w:p w14:paraId="77ED9C4E">
      <w:pPr>
        <w:pStyle w:val="32"/>
        <w:ind w:firstLine="420"/>
        <w:rPr>
          <w:color w:val="000000"/>
        </w:rPr>
      </w:pPr>
      <w:r>
        <w:rPr>
          <w:rFonts w:hint="eastAsia"/>
          <w:color w:val="000000"/>
        </w:rPr>
        <w:t>为贯彻落实《国务院办公厅关于促进建筑业持续健康发展的意见》（国办发〔2017〕19号）、《住房城乡建设部关于促进工程监理行业转型升级创新发展的意见》（建市〔2017〕145号）和《国家发展改革委住房城乡建设部关于推进全过程工程咨询服务发展的指导意见》（发改投资规〔2019〕515号）的要求，保证光伏发电工程全过程工程咨询服务质量，制定本文件。</w:t>
      </w:r>
    </w:p>
    <w:p w14:paraId="42F76CD1">
      <w:pPr>
        <w:pStyle w:val="32"/>
        <w:ind w:firstLine="420"/>
        <w:rPr>
          <w:rFonts w:hint="eastAsia"/>
          <w:color w:val="000000"/>
        </w:rPr>
      </w:pPr>
      <w:r>
        <w:rPr>
          <w:rFonts w:hint="eastAsia"/>
          <w:color w:val="000000"/>
        </w:rPr>
        <w:t>T/CEPCA 1001旨在明确全过程工程咨询服务的工作内容和要求,规范工程咨询服务行为,拟由四个部分构成。</w:t>
      </w:r>
    </w:p>
    <w:p w14:paraId="22A558B2">
      <w:pPr>
        <w:pStyle w:val="32"/>
        <w:ind w:firstLine="420"/>
        <w:rPr>
          <w:rFonts w:hint="eastAsia"/>
          <w:color w:val="000000"/>
        </w:rPr>
      </w:pPr>
      <w:r>
        <w:rPr>
          <w:rFonts w:hint="eastAsia"/>
          <w:color w:val="000000"/>
        </w:rPr>
        <w:t>———第1部分:输变电工程。目的在于确立输变电工程全过程工程咨询相关内容。</w:t>
      </w:r>
    </w:p>
    <w:p w14:paraId="2D0CD88E">
      <w:pPr>
        <w:pStyle w:val="32"/>
        <w:ind w:firstLine="420"/>
        <w:rPr>
          <w:rFonts w:hint="eastAsia"/>
          <w:color w:val="000000"/>
        </w:rPr>
      </w:pPr>
      <w:r>
        <w:rPr>
          <w:rFonts w:hint="eastAsia"/>
          <w:color w:val="000000"/>
        </w:rPr>
        <w:t>———第2部分:火力发电工程。目的在于确立火力发电工程全过程工程咨询相关内容。</w:t>
      </w:r>
    </w:p>
    <w:p w14:paraId="2D26A464">
      <w:pPr>
        <w:pStyle w:val="32"/>
        <w:ind w:firstLine="420"/>
        <w:rPr>
          <w:rFonts w:hint="eastAsia"/>
          <w:color w:val="000000"/>
        </w:rPr>
      </w:pPr>
      <w:r>
        <w:rPr>
          <w:rFonts w:hint="eastAsia"/>
          <w:color w:val="000000"/>
        </w:rPr>
        <w:t>———第3部分:风力发电工程。目的在于确立风力发电工程全过程工程咨询相关内容。</w:t>
      </w:r>
    </w:p>
    <w:p w14:paraId="763CAAEC">
      <w:pPr>
        <w:pStyle w:val="32"/>
        <w:ind w:firstLine="420"/>
        <w:rPr>
          <w:rFonts w:hint="eastAsia"/>
          <w:color w:val="000000"/>
        </w:rPr>
      </w:pPr>
      <w:r>
        <w:rPr>
          <w:rFonts w:hint="eastAsia"/>
          <w:color w:val="000000"/>
        </w:rPr>
        <w:t>———第4部分:光伏发电工程。目的在于确立光伏发电工程全过程工程咨询相关内容。</w:t>
      </w:r>
    </w:p>
    <w:p w14:paraId="1E24F288">
      <w:pPr>
        <w:pStyle w:val="32"/>
        <w:ind w:firstLine="420"/>
        <w:rPr>
          <w:color w:val="000000"/>
        </w:rPr>
      </w:pPr>
    </w:p>
    <w:p w14:paraId="0355840C">
      <w:pPr>
        <w:pStyle w:val="32"/>
        <w:ind w:firstLine="420"/>
        <w:rPr>
          <w:color w:val="000000"/>
        </w:rPr>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cols w:space="720" w:num="1"/>
          <w:formProt w:val="0"/>
          <w:docGrid w:linePitch="312" w:charSpace="0"/>
        </w:sectPr>
      </w:pPr>
    </w:p>
    <w:bookmarkEnd w:id="20"/>
    <w:p w14:paraId="78A05114">
      <w:pPr>
        <w:spacing w:line="20" w:lineRule="exact"/>
        <w:jc w:val="center"/>
        <w:rPr>
          <w:rFonts w:ascii="黑体" w:hAnsi="黑体" w:eastAsia="黑体"/>
          <w:color w:val="000000"/>
          <w:sz w:val="32"/>
          <w:szCs w:val="32"/>
        </w:rPr>
      </w:pPr>
      <w:bookmarkStart w:id="21" w:name="BookMark4"/>
    </w:p>
    <w:p w14:paraId="2B21E97C">
      <w:pPr>
        <w:spacing w:line="20" w:lineRule="exact"/>
        <w:jc w:val="center"/>
        <w:rPr>
          <w:rFonts w:ascii="黑体" w:hAnsi="黑体" w:eastAsia="黑体"/>
          <w:color w:val="000000"/>
          <w:sz w:val="32"/>
          <w:szCs w:val="32"/>
        </w:rPr>
      </w:pPr>
    </w:p>
    <w:p w14:paraId="45028F43">
      <w:pPr>
        <w:pStyle w:val="63"/>
        <w:spacing w:before="2" w:beforeLines="1" w:after="2" w:afterLines="1"/>
        <w:rPr>
          <w:color w:val="000000"/>
        </w:rPr>
      </w:pPr>
      <w:bookmarkStart w:id="22" w:name="NEW_STAND_NAME"/>
      <w:r>
        <w:rPr>
          <w:rFonts w:hint="eastAsia"/>
          <w:color w:val="000000"/>
        </w:rPr>
        <w:t>电力建设全过程工程咨询导则</w:t>
      </w:r>
    </w:p>
    <w:p w14:paraId="61E36301">
      <w:pPr>
        <w:pStyle w:val="63"/>
        <w:spacing w:before="2" w:beforeLines="1" w:after="680"/>
        <w:rPr>
          <w:color w:val="000000"/>
        </w:rPr>
      </w:pPr>
      <w:r>
        <w:rPr>
          <w:rFonts w:hint="eastAsia"/>
          <w:color w:val="000000"/>
        </w:rPr>
        <w:t>第4</w:t>
      </w:r>
      <w:r>
        <w:rPr>
          <w:color w:val="000000"/>
        </w:rPr>
        <w:t xml:space="preserve">部分 </w:t>
      </w:r>
      <w:r>
        <w:rPr>
          <w:rFonts w:hint="eastAsia"/>
          <w:color w:val="000000"/>
        </w:rPr>
        <w:t>光伏发电</w:t>
      </w:r>
      <w:r>
        <w:rPr>
          <w:color w:val="000000"/>
        </w:rPr>
        <w:t>工程</w:t>
      </w:r>
    </w:p>
    <w:bookmarkEnd w:id="22"/>
    <w:p w14:paraId="355A4B6F">
      <w:pPr>
        <w:pStyle w:val="49"/>
        <w:spacing w:before="240" w:after="240"/>
        <w:rPr>
          <w:color w:val="000000"/>
        </w:rPr>
      </w:pPr>
      <w:bookmarkStart w:id="23" w:name="_Toc17233333"/>
      <w:bookmarkStart w:id="24" w:name="_Toc17233325"/>
      <w:bookmarkStart w:id="25" w:name="_Toc24884218"/>
      <w:bookmarkStart w:id="26" w:name="_Toc155714261"/>
      <w:bookmarkStart w:id="27" w:name="_Toc26986771"/>
      <w:bookmarkStart w:id="28" w:name="_Toc26986530"/>
      <w:bookmarkStart w:id="29" w:name="_Toc155714321"/>
      <w:bookmarkStart w:id="30" w:name="_Toc22031"/>
      <w:bookmarkStart w:id="31" w:name="_Toc155628702"/>
      <w:bookmarkStart w:id="32" w:name="_Toc11078"/>
      <w:bookmarkStart w:id="33" w:name="_Toc26648465"/>
      <w:bookmarkStart w:id="34" w:name="_Toc155604541"/>
      <w:bookmarkStart w:id="35" w:name="_Toc97192964"/>
      <w:bookmarkStart w:id="36" w:name="_Toc26718930"/>
      <w:bookmarkStart w:id="37" w:name="_Toc24884211"/>
      <w:bookmarkStart w:id="38" w:name="_Toc155628765"/>
      <w:r>
        <w:rPr>
          <w:rFonts w:hint="eastAsia"/>
          <w:color w:val="000000"/>
        </w:rPr>
        <w:t>范围</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846866E">
      <w:pPr>
        <w:pStyle w:val="50"/>
        <w:rPr>
          <w:color w:val="000000"/>
        </w:rPr>
      </w:pPr>
      <w:bookmarkStart w:id="39" w:name="_Toc13058"/>
      <w:bookmarkStart w:id="40" w:name="_Toc24884212"/>
      <w:bookmarkStart w:id="41" w:name="_Toc26648466"/>
      <w:bookmarkStart w:id="42" w:name="_Toc17233334"/>
      <w:bookmarkStart w:id="43" w:name="_Toc17233326"/>
      <w:bookmarkStart w:id="44" w:name="_Toc24884219"/>
      <w:r>
        <w:rPr>
          <w:rFonts w:hint="eastAsia"/>
          <w:color w:val="000000"/>
        </w:rPr>
        <w:t>本文件规定了光伏发电工程建设全过程工程咨询的总体原则和要求</w:t>
      </w:r>
      <w:r>
        <w:rPr>
          <w:rFonts w:hint="eastAsia"/>
          <w:color w:val="000000"/>
          <w:lang w:eastAsia="zh-CN"/>
        </w:rPr>
        <w:t>、</w:t>
      </w:r>
      <w:r>
        <w:rPr>
          <w:rFonts w:hint="eastAsia"/>
          <w:color w:val="000000"/>
        </w:rPr>
        <w:t>工程咨询机构及其设施</w:t>
      </w:r>
      <w:r>
        <w:rPr>
          <w:rFonts w:hint="eastAsia"/>
          <w:color w:val="000000"/>
          <w:lang w:val="en-US" w:eastAsia="zh-CN"/>
        </w:rPr>
        <w:t>、</w:t>
      </w:r>
      <w:r>
        <w:rPr>
          <w:rFonts w:hint="eastAsia"/>
          <w:color w:val="000000"/>
        </w:rPr>
        <w:t>项目管理</w:t>
      </w:r>
      <w:r>
        <w:rPr>
          <w:rFonts w:hint="eastAsia"/>
          <w:color w:val="000000"/>
          <w:lang w:val="en-US" w:eastAsia="zh-CN"/>
        </w:rPr>
        <w:t>以及</w:t>
      </w:r>
      <w:r>
        <w:rPr>
          <w:rFonts w:hint="eastAsia"/>
          <w:color w:val="auto"/>
          <w:highlight w:val="none"/>
        </w:rPr>
        <w:t>投资决策咨询</w:t>
      </w:r>
      <w:r>
        <w:rPr>
          <w:rFonts w:hint="eastAsia"/>
          <w:color w:val="auto"/>
          <w:highlight w:val="none"/>
          <w:lang w:val="en-US" w:eastAsia="zh-CN"/>
        </w:rPr>
        <w:t>等专项咨询</w:t>
      </w:r>
      <w:r>
        <w:rPr>
          <w:rFonts w:hint="eastAsia"/>
          <w:color w:val="000000"/>
        </w:rPr>
        <w:t>工作内容和管理要求。</w:t>
      </w:r>
      <w:bookmarkEnd w:id="39"/>
    </w:p>
    <w:p w14:paraId="002C1448">
      <w:pPr>
        <w:pStyle w:val="50"/>
        <w:rPr>
          <w:color w:val="000000"/>
        </w:rPr>
      </w:pPr>
      <w:bookmarkStart w:id="45" w:name="_Toc7072"/>
      <w:r>
        <w:rPr>
          <w:rFonts w:hint="eastAsia"/>
          <w:color w:val="000000"/>
        </w:rPr>
        <w:t>本文件适用于光伏发电工程</w:t>
      </w:r>
      <w:r>
        <w:rPr>
          <w:rFonts w:hint="eastAsia"/>
          <w:color w:val="000000"/>
          <w:lang w:val="en-US" w:eastAsia="zh-CN"/>
        </w:rPr>
        <w:t>新建、扩建、改建等有关活动的</w:t>
      </w:r>
      <w:r>
        <w:rPr>
          <w:rFonts w:hint="eastAsia"/>
          <w:color w:val="000000"/>
        </w:rPr>
        <w:t>全过程工程咨询服务。</w:t>
      </w:r>
      <w:bookmarkEnd w:id="45"/>
    </w:p>
    <w:p w14:paraId="0909A938">
      <w:pPr>
        <w:pStyle w:val="49"/>
        <w:spacing w:before="240" w:after="240"/>
        <w:rPr>
          <w:color w:val="000000"/>
        </w:rPr>
      </w:pPr>
      <w:bookmarkStart w:id="46" w:name="_Toc21877"/>
      <w:bookmarkStart w:id="47" w:name="_Toc155714322"/>
      <w:bookmarkStart w:id="48" w:name="_Toc97192965"/>
      <w:bookmarkStart w:id="49" w:name="_Toc26986772"/>
      <w:bookmarkStart w:id="50" w:name="_Toc155628766"/>
      <w:bookmarkStart w:id="51" w:name="_Toc26986531"/>
      <w:bookmarkStart w:id="52" w:name="_Toc155714262"/>
      <w:bookmarkStart w:id="53" w:name="_Toc155628703"/>
      <w:bookmarkStart w:id="54" w:name="_Toc26718931"/>
      <w:bookmarkStart w:id="55" w:name="_Toc14546"/>
      <w:bookmarkStart w:id="56" w:name="_Toc155604542"/>
      <w:r>
        <w:rPr>
          <w:rFonts w:hint="eastAsia"/>
          <w:color w:val="000000"/>
        </w:rPr>
        <w:t>规范性引用文件</w:t>
      </w:r>
      <w:bookmarkEnd w:id="40"/>
      <w:bookmarkEnd w:id="41"/>
      <w:bookmarkEnd w:id="42"/>
      <w:bookmarkEnd w:id="43"/>
      <w:bookmarkEnd w:id="44"/>
      <w:bookmarkEnd w:id="46"/>
      <w:bookmarkEnd w:id="47"/>
      <w:bookmarkEnd w:id="48"/>
      <w:bookmarkEnd w:id="49"/>
      <w:bookmarkEnd w:id="50"/>
      <w:bookmarkEnd w:id="51"/>
      <w:bookmarkEnd w:id="52"/>
      <w:bookmarkEnd w:id="53"/>
      <w:bookmarkEnd w:id="54"/>
      <w:bookmarkEnd w:id="55"/>
      <w:bookmarkEnd w:id="56"/>
    </w:p>
    <w:p w14:paraId="75243B62">
      <w:pPr>
        <w:pStyle w:val="32"/>
        <w:ind w:firstLine="420"/>
        <w:rPr>
          <w:color w:val="000000"/>
        </w:rPr>
      </w:pPr>
      <w:r>
        <w:rPr>
          <w:rFonts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EB3D4AD">
      <w:pPr>
        <w:ind w:firstLine="420" w:firstLineChars="200"/>
        <w:rPr>
          <w:rFonts w:hint="eastAsia" w:ascii="宋体" w:hAnsi="宋体" w:cs="宋体"/>
        </w:rPr>
      </w:pPr>
      <w:r>
        <w:rPr>
          <w:rFonts w:hint="eastAsia" w:ascii="宋体" w:hAnsi="宋体" w:cs="宋体"/>
        </w:rPr>
        <w:t xml:space="preserve">GB </w:t>
      </w:r>
      <w:r>
        <w:rPr>
          <w:rFonts w:hint="eastAsia" w:ascii="宋体" w:hAnsi="宋体" w:cs="宋体"/>
          <w:lang w:val="en-US" w:eastAsia="zh-CN"/>
        </w:rPr>
        <w:t xml:space="preserve">  </w:t>
      </w:r>
      <w:r>
        <w:rPr>
          <w:rFonts w:hint="eastAsia" w:ascii="宋体" w:hAnsi="宋体" w:eastAsia="宋体" w:cs="宋体"/>
          <w:lang w:val="en-US" w:eastAsia="zh-CN"/>
        </w:rPr>
        <w:t xml:space="preserve"> </w:t>
      </w:r>
      <w:r>
        <w:rPr>
          <w:rFonts w:hint="eastAsia" w:ascii="宋体" w:hAnsi="宋体" w:cs="宋体"/>
          <w:lang w:val="en-US" w:eastAsia="zh-CN"/>
        </w:rPr>
        <w:t xml:space="preserve"> </w:t>
      </w:r>
      <w:r>
        <w:rPr>
          <w:rFonts w:hint="eastAsia" w:ascii="宋体" w:hAnsi="宋体" w:cs="宋体"/>
        </w:rPr>
        <w:t>12523</w:t>
      </w:r>
      <w:r>
        <w:rPr>
          <w:rFonts w:hint="eastAsia" w:ascii="宋体" w:hAnsi="宋体" w:cs="宋体"/>
          <w:lang w:val="en-US" w:eastAsia="zh-CN"/>
        </w:rPr>
        <w:t xml:space="preserve">  </w:t>
      </w:r>
      <w:r>
        <w:rPr>
          <w:rFonts w:hint="eastAsia" w:ascii="宋体" w:hAnsi="宋体" w:cs="宋体"/>
        </w:rPr>
        <w:t>建筑施工场界环境噪声排放标准</w:t>
      </w:r>
    </w:p>
    <w:p w14:paraId="300E72F1">
      <w:pPr>
        <w:ind w:firstLine="420" w:firstLineChars="200"/>
        <w:rPr>
          <w:rFonts w:hint="eastAsia" w:ascii="宋体" w:hAnsi="宋体" w:cs="宋体"/>
          <w:color w:val="000000"/>
        </w:rPr>
      </w:pPr>
      <w:r>
        <w:rPr>
          <w:rFonts w:hint="eastAsia" w:ascii="宋体" w:hAnsi="宋体" w:cs="宋体"/>
        </w:rPr>
        <w:t xml:space="preserve">GB </w:t>
      </w:r>
      <w:r>
        <w:rPr>
          <w:rFonts w:hint="eastAsia" w:ascii="宋体" w:hAnsi="宋体" w:cs="宋体"/>
          <w:lang w:val="en-US" w:eastAsia="zh-CN"/>
        </w:rPr>
        <w:t xml:space="preserve">   </w:t>
      </w:r>
      <w:r>
        <w:rPr>
          <w:rFonts w:hint="eastAsia" w:ascii="宋体" w:hAnsi="宋体" w:eastAsia="宋体" w:cs="宋体"/>
          <w:lang w:val="en-US" w:eastAsia="zh-CN"/>
        </w:rPr>
        <w:t xml:space="preserve"> </w:t>
      </w:r>
      <w:r>
        <w:rPr>
          <w:rFonts w:hint="eastAsia" w:ascii="宋体" w:hAnsi="宋体" w:cs="宋体"/>
        </w:rPr>
        <w:t>16297</w:t>
      </w:r>
      <w:r>
        <w:rPr>
          <w:rFonts w:hint="eastAsia" w:ascii="宋体" w:hAnsi="宋体" w:cs="宋体"/>
          <w:lang w:val="en-US" w:eastAsia="zh-CN"/>
        </w:rPr>
        <w:t xml:space="preserve">  </w:t>
      </w:r>
      <w:r>
        <w:rPr>
          <w:rFonts w:hint="eastAsia" w:ascii="宋体" w:hAnsi="宋体" w:cs="宋体"/>
        </w:rPr>
        <w:t>大气污染物综合排放标准</w:t>
      </w:r>
    </w:p>
    <w:p w14:paraId="376D7093">
      <w:pPr>
        <w:ind w:firstLine="420" w:firstLineChars="200"/>
        <w:rPr>
          <w:rFonts w:hint="eastAsia" w:ascii="宋体" w:hAnsi="宋体" w:eastAsia="宋体" w:cs="宋体"/>
          <w:color w:val="000000"/>
          <w:lang w:val="en-US" w:eastAsia="zh-CN"/>
        </w:rPr>
      </w:pPr>
      <w:r>
        <w:rPr>
          <w:rFonts w:hint="eastAsia" w:ascii="宋体" w:hAnsi="宋体" w:cs="宋体"/>
          <w:color w:val="000000"/>
        </w:rPr>
        <w:t xml:space="preserve">GB/T </w:t>
      </w:r>
      <w:r>
        <w:rPr>
          <w:rFonts w:hint="eastAsia" w:ascii="宋体" w:hAnsi="宋体" w:cs="宋体"/>
          <w:color w:val="000000"/>
          <w:lang w:val="en-US" w:eastAsia="zh-CN"/>
        </w:rPr>
        <w:t xml:space="preserve"> </w:t>
      </w:r>
      <w:r>
        <w:rPr>
          <w:rFonts w:hint="eastAsia" w:ascii="宋体" w:hAnsi="宋体" w:eastAsia="宋体" w:cs="宋体"/>
          <w:color w:val="000000"/>
          <w:lang w:val="en-US" w:eastAsia="zh-CN"/>
        </w:rPr>
        <w:t xml:space="preserve"> </w:t>
      </w:r>
      <w:r>
        <w:rPr>
          <w:rFonts w:hint="eastAsia" w:ascii="宋体" w:hAnsi="宋体" w:cs="宋体"/>
          <w:color w:val="000000"/>
        </w:rPr>
        <w:t>22079</w:t>
      </w:r>
      <w:r>
        <w:rPr>
          <w:rFonts w:hint="eastAsia" w:ascii="宋体" w:hAnsi="宋体" w:cs="宋体"/>
          <w:color w:val="000000"/>
          <w:lang w:val="en-US" w:eastAsia="zh-CN"/>
        </w:rPr>
        <w:t xml:space="preserve">  户内和户外用高压聚合物绝缘子一般定义、试验方法和接收准则</w:t>
      </w:r>
    </w:p>
    <w:p w14:paraId="4FA352DD">
      <w:pPr>
        <w:ind w:firstLine="420" w:firstLineChars="200"/>
        <w:rPr>
          <w:rFonts w:hint="eastAsia" w:ascii="宋体" w:hAnsi="宋体" w:cs="宋体"/>
          <w:color w:val="000000"/>
        </w:rPr>
      </w:pPr>
      <w:r>
        <w:rPr>
          <w:rFonts w:hint="eastAsia" w:ascii="宋体" w:hAnsi="宋体" w:eastAsia="宋体" w:cs="宋体"/>
          <w:color w:val="000000"/>
        </w:rPr>
        <w:t xml:space="preserve">GB/T </w:t>
      </w:r>
      <w:r>
        <w:rPr>
          <w:rFonts w:hint="eastAsia" w:ascii="宋体" w:hAnsi="宋体" w:eastAsia="宋体" w:cs="宋体"/>
          <w:color w:val="000000"/>
          <w:lang w:val="en-US" w:eastAsia="zh-CN"/>
        </w:rPr>
        <w:t xml:space="preserve">  </w:t>
      </w:r>
      <w:r>
        <w:rPr>
          <w:rFonts w:hint="eastAsia" w:ascii="宋体" w:hAnsi="宋体" w:eastAsia="宋体" w:cs="宋体"/>
          <w:color w:val="000000"/>
        </w:rPr>
        <w:t>39753</w:t>
      </w:r>
      <w:r>
        <w:rPr>
          <w:rFonts w:hint="eastAsia" w:ascii="宋体" w:hAnsi="宋体" w:eastAsia="宋体" w:cs="宋体"/>
          <w:color w:val="000000"/>
          <w:lang w:val="en-US" w:eastAsia="zh-CN"/>
        </w:rPr>
        <w:t xml:space="preserve">  </w:t>
      </w:r>
      <w:r>
        <w:rPr>
          <w:rFonts w:hint="eastAsia" w:ascii="宋体" w:hAnsi="宋体" w:eastAsia="宋体" w:cs="宋体"/>
          <w:color w:val="000000"/>
        </w:rPr>
        <w:t>光伏组件回收利用通用技术要求</w:t>
      </w:r>
    </w:p>
    <w:p w14:paraId="3E06AD06">
      <w:pPr>
        <w:ind w:firstLine="420" w:firstLineChars="200"/>
        <w:rPr>
          <w:rFonts w:hint="eastAsia" w:ascii="宋体" w:hAnsi="宋体" w:cs="宋体"/>
          <w:color w:val="000000"/>
        </w:rPr>
      </w:pPr>
      <w:r>
        <w:rPr>
          <w:rFonts w:hint="eastAsia" w:ascii="宋体" w:hAnsi="宋体" w:cs="宋体"/>
          <w:color w:val="000000"/>
        </w:rPr>
        <w:t xml:space="preserve">GB/T </w:t>
      </w:r>
      <w:r>
        <w:rPr>
          <w:rFonts w:hint="eastAsia" w:ascii="宋体" w:hAnsi="宋体" w:cs="宋体"/>
          <w:color w:val="000000"/>
          <w:lang w:val="en-US" w:eastAsia="zh-CN"/>
        </w:rPr>
        <w:t xml:space="preserve"> </w:t>
      </w:r>
      <w:r>
        <w:rPr>
          <w:rFonts w:hint="eastAsia" w:ascii="宋体" w:hAnsi="宋体" w:eastAsia="宋体" w:cs="宋体"/>
          <w:color w:val="000000"/>
          <w:lang w:val="en-US" w:eastAsia="zh-CN"/>
        </w:rPr>
        <w:t xml:space="preserve"> </w:t>
      </w:r>
      <w:r>
        <w:rPr>
          <w:rFonts w:hint="eastAsia" w:ascii="宋体" w:hAnsi="宋体" w:cs="宋体"/>
          <w:color w:val="000000"/>
        </w:rPr>
        <w:t>42766</w:t>
      </w:r>
      <w:r>
        <w:rPr>
          <w:rFonts w:hint="eastAsia" w:ascii="宋体" w:hAnsi="宋体" w:cs="宋体"/>
          <w:color w:val="000000"/>
          <w:lang w:val="en-US" w:eastAsia="zh-CN"/>
        </w:rPr>
        <w:t xml:space="preserve">  </w:t>
      </w:r>
      <w:r>
        <w:rPr>
          <w:rFonts w:hint="eastAsia" w:ascii="宋体" w:hAnsi="宋体" w:cs="宋体"/>
          <w:color w:val="000000"/>
        </w:rPr>
        <w:t>光伏发电太阳能资源评估规范</w:t>
      </w:r>
    </w:p>
    <w:p w14:paraId="59052982">
      <w:pPr>
        <w:ind w:firstLine="420" w:firstLineChars="200"/>
        <w:rPr>
          <w:rFonts w:hint="eastAsia" w:ascii="宋体" w:hAnsi="宋体" w:cs="宋体"/>
          <w:color w:val="000000"/>
        </w:rPr>
      </w:pPr>
      <w:r>
        <w:rPr>
          <w:rFonts w:hint="eastAsia" w:ascii="宋体" w:hAnsi="宋体" w:cs="宋体"/>
          <w:color w:val="000000"/>
        </w:rPr>
        <w:t>GB/T</w:t>
      </w:r>
      <w:r>
        <w:rPr>
          <w:rFonts w:hint="eastAsia" w:ascii="宋体" w:hAnsi="宋体" w:cs="宋体"/>
          <w:color w:val="000000"/>
          <w:lang w:val="en-US" w:eastAsia="zh-CN"/>
        </w:rPr>
        <w:t xml:space="preserve"> </w:t>
      </w:r>
      <w:r>
        <w:rPr>
          <w:rFonts w:hint="eastAsia" w:ascii="宋体" w:hAnsi="宋体" w:cs="宋体"/>
          <w:color w:val="000000"/>
        </w:rPr>
        <w:t xml:space="preserve"> </w:t>
      </w:r>
      <w:r>
        <w:rPr>
          <w:rFonts w:hint="eastAsia" w:ascii="宋体" w:hAnsi="宋体" w:eastAsia="宋体" w:cs="宋体"/>
          <w:color w:val="000000"/>
          <w:lang w:val="en-US" w:eastAsia="zh-CN"/>
        </w:rPr>
        <w:t xml:space="preserve"> </w:t>
      </w:r>
      <w:r>
        <w:rPr>
          <w:rFonts w:hint="eastAsia" w:ascii="宋体" w:hAnsi="宋体" w:cs="宋体"/>
          <w:color w:val="000000"/>
        </w:rPr>
        <w:t xml:space="preserve">50358 </w:t>
      </w:r>
      <w:r>
        <w:rPr>
          <w:rFonts w:hint="eastAsia" w:ascii="宋体" w:hAnsi="宋体" w:cs="宋体"/>
          <w:color w:val="000000"/>
          <w:lang w:val="en-US" w:eastAsia="zh-CN"/>
        </w:rPr>
        <w:t xml:space="preserve"> </w:t>
      </w:r>
      <w:r>
        <w:rPr>
          <w:rFonts w:hint="eastAsia" w:ascii="宋体" w:hAnsi="宋体" w:cs="宋体"/>
          <w:color w:val="000000"/>
        </w:rPr>
        <w:t xml:space="preserve">建设项目工程总承包管理规范 </w:t>
      </w:r>
    </w:p>
    <w:p w14:paraId="67E40B0B">
      <w:pPr>
        <w:ind w:firstLine="420" w:firstLineChars="200"/>
        <w:rPr>
          <w:rFonts w:hint="eastAsia" w:ascii="宋体" w:hAnsi="宋体" w:cs="宋体"/>
          <w:color w:val="000000"/>
        </w:rPr>
      </w:pPr>
      <w:r>
        <w:rPr>
          <w:rFonts w:hint="eastAsia" w:ascii="宋体" w:hAnsi="宋体" w:cs="宋体"/>
          <w:color w:val="000000"/>
        </w:rPr>
        <w:t xml:space="preserve">GB </w:t>
      </w:r>
      <w:r>
        <w:rPr>
          <w:rFonts w:hint="eastAsia" w:ascii="宋体" w:hAnsi="宋体" w:cs="宋体"/>
          <w:color w:val="000000"/>
          <w:lang w:val="en-US" w:eastAsia="zh-CN"/>
        </w:rPr>
        <w:t xml:space="preserve">   </w:t>
      </w:r>
      <w:r>
        <w:rPr>
          <w:rFonts w:hint="eastAsia" w:ascii="宋体" w:hAnsi="宋体" w:eastAsia="宋体" w:cs="宋体"/>
          <w:color w:val="000000"/>
          <w:lang w:val="en-US" w:eastAsia="zh-CN"/>
        </w:rPr>
        <w:t xml:space="preserve"> </w:t>
      </w:r>
      <w:r>
        <w:rPr>
          <w:rFonts w:hint="eastAsia" w:ascii="宋体" w:hAnsi="宋体" w:cs="宋体"/>
          <w:color w:val="000000"/>
        </w:rPr>
        <w:t xml:space="preserve">50794 </w:t>
      </w:r>
      <w:r>
        <w:rPr>
          <w:rFonts w:hint="eastAsia" w:ascii="宋体" w:hAnsi="宋体" w:cs="宋体"/>
          <w:color w:val="000000"/>
          <w:lang w:val="en-US" w:eastAsia="zh-CN"/>
        </w:rPr>
        <w:t xml:space="preserve"> </w:t>
      </w:r>
      <w:r>
        <w:rPr>
          <w:rFonts w:hint="eastAsia" w:ascii="宋体" w:hAnsi="宋体" w:cs="宋体"/>
          <w:color w:val="000000"/>
        </w:rPr>
        <w:t>光伏发电站施工规范</w:t>
      </w:r>
    </w:p>
    <w:p w14:paraId="49AE47BF">
      <w:pPr>
        <w:ind w:firstLine="420" w:firstLineChars="200"/>
        <w:rPr>
          <w:rFonts w:hint="eastAsia" w:ascii="宋体" w:hAnsi="宋体" w:cs="宋体"/>
          <w:color w:val="000000"/>
        </w:rPr>
      </w:pPr>
      <w:r>
        <w:rPr>
          <w:rFonts w:hint="eastAsia" w:ascii="宋体" w:hAnsi="宋体" w:cs="宋体"/>
          <w:color w:val="000000"/>
        </w:rPr>
        <w:t xml:space="preserve">GB/T </w:t>
      </w:r>
      <w:r>
        <w:rPr>
          <w:rFonts w:hint="eastAsia" w:ascii="宋体" w:hAnsi="宋体" w:cs="宋体"/>
          <w:color w:val="000000"/>
          <w:lang w:val="en-US" w:eastAsia="zh-CN"/>
        </w:rPr>
        <w:t xml:space="preserve"> </w:t>
      </w:r>
      <w:r>
        <w:rPr>
          <w:rFonts w:hint="eastAsia" w:ascii="宋体" w:hAnsi="宋体" w:eastAsia="宋体" w:cs="宋体"/>
          <w:color w:val="000000"/>
          <w:lang w:val="en-US" w:eastAsia="zh-CN"/>
        </w:rPr>
        <w:t xml:space="preserve"> </w:t>
      </w:r>
      <w:r>
        <w:rPr>
          <w:rFonts w:hint="eastAsia" w:ascii="宋体" w:hAnsi="宋体" w:cs="宋体"/>
          <w:color w:val="000000"/>
        </w:rPr>
        <w:t xml:space="preserve">50796 </w:t>
      </w:r>
      <w:r>
        <w:rPr>
          <w:rFonts w:hint="eastAsia" w:ascii="宋体" w:hAnsi="宋体" w:cs="宋体"/>
          <w:color w:val="000000"/>
          <w:lang w:val="en-US" w:eastAsia="zh-CN"/>
        </w:rPr>
        <w:t xml:space="preserve"> </w:t>
      </w:r>
      <w:r>
        <w:rPr>
          <w:rFonts w:hint="eastAsia" w:ascii="宋体" w:hAnsi="宋体" w:cs="宋体"/>
          <w:color w:val="000000"/>
        </w:rPr>
        <w:t>光伏发电工程验收规范</w:t>
      </w:r>
    </w:p>
    <w:p w14:paraId="46502EC7">
      <w:pPr>
        <w:ind w:firstLine="420" w:firstLineChars="200"/>
        <w:rPr>
          <w:rFonts w:hint="eastAsia" w:ascii="宋体" w:hAnsi="宋体" w:cs="宋体"/>
          <w:color w:val="000000"/>
        </w:rPr>
      </w:pPr>
      <w:r>
        <w:rPr>
          <w:rFonts w:hint="eastAsia" w:ascii="宋体" w:hAnsi="宋体" w:cs="宋体"/>
          <w:color w:val="000000"/>
        </w:rPr>
        <w:t xml:space="preserve">GB/T </w:t>
      </w:r>
      <w:r>
        <w:rPr>
          <w:rFonts w:hint="eastAsia" w:ascii="宋体" w:hAnsi="宋体" w:cs="宋体"/>
          <w:color w:val="000000"/>
          <w:lang w:val="en-US" w:eastAsia="zh-CN"/>
        </w:rPr>
        <w:t xml:space="preserve"> </w:t>
      </w:r>
      <w:r>
        <w:rPr>
          <w:rFonts w:hint="eastAsia" w:ascii="宋体" w:hAnsi="宋体" w:eastAsia="宋体" w:cs="宋体"/>
          <w:color w:val="000000"/>
          <w:lang w:val="en-US" w:eastAsia="zh-CN"/>
        </w:rPr>
        <w:t xml:space="preserve"> </w:t>
      </w:r>
      <w:r>
        <w:rPr>
          <w:rFonts w:hint="eastAsia" w:ascii="宋体" w:hAnsi="宋体" w:cs="宋体"/>
          <w:color w:val="000000"/>
        </w:rPr>
        <w:t xml:space="preserve">51368 </w:t>
      </w:r>
      <w:r>
        <w:rPr>
          <w:rFonts w:hint="eastAsia" w:ascii="宋体" w:hAnsi="宋体" w:cs="宋体"/>
          <w:color w:val="000000"/>
          <w:lang w:val="en-US" w:eastAsia="zh-CN"/>
        </w:rPr>
        <w:t xml:space="preserve"> </w:t>
      </w:r>
      <w:r>
        <w:rPr>
          <w:rFonts w:hint="eastAsia" w:ascii="宋体" w:hAnsi="宋体" w:cs="宋体"/>
          <w:color w:val="000000"/>
        </w:rPr>
        <w:t>建筑光伏系统应用技术标准</w:t>
      </w:r>
    </w:p>
    <w:p w14:paraId="4E4441A1">
      <w:pPr>
        <w:ind w:firstLine="420" w:firstLineChars="200"/>
        <w:rPr>
          <w:rFonts w:hint="eastAsia" w:ascii="宋体" w:hAnsi="宋体" w:cs="宋体"/>
          <w:color w:val="000000"/>
        </w:rPr>
      </w:pPr>
      <w:r>
        <w:rPr>
          <w:rFonts w:hint="eastAsia" w:ascii="宋体" w:hAnsi="宋体" w:cs="宋体"/>
          <w:color w:val="000000"/>
        </w:rPr>
        <w:t xml:space="preserve">DL/T </w:t>
      </w:r>
      <w:r>
        <w:rPr>
          <w:rFonts w:hint="eastAsia" w:ascii="宋体" w:hAnsi="宋体" w:cs="宋体"/>
          <w:color w:val="000000"/>
          <w:lang w:val="en-US" w:eastAsia="zh-CN"/>
        </w:rPr>
        <w:t xml:space="preserve"> </w:t>
      </w:r>
      <w:r>
        <w:rPr>
          <w:rFonts w:hint="eastAsia" w:ascii="宋体" w:hAnsi="宋体" w:eastAsia="宋体" w:cs="宋体"/>
          <w:color w:val="000000"/>
          <w:lang w:val="en-US" w:eastAsia="zh-CN"/>
        </w:rPr>
        <w:t xml:space="preserve"> </w:t>
      </w:r>
      <w:r>
        <w:rPr>
          <w:rFonts w:hint="eastAsia" w:ascii="宋体" w:hAnsi="宋体" w:cs="宋体"/>
          <w:color w:val="000000"/>
        </w:rPr>
        <w:t xml:space="preserve">5434  </w:t>
      </w:r>
      <w:r>
        <w:rPr>
          <w:rFonts w:hint="eastAsia" w:ascii="宋体" w:hAnsi="宋体" w:cs="宋体"/>
          <w:color w:val="000000"/>
          <w:lang w:val="en-US" w:eastAsia="zh-CN"/>
        </w:rPr>
        <w:t xml:space="preserve"> </w:t>
      </w:r>
      <w:r>
        <w:rPr>
          <w:rFonts w:hint="eastAsia" w:ascii="宋体" w:hAnsi="宋体" w:cs="宋体"/>
          <w:color w:val="000000"/>
        </w:rPr>
        <w:t>电力建设工程监理规范</w:t>
      </w:r>
    </w:p>
    <w:p w14:paraId="3E786EEB">
      <w:pPr>
        <w:ind w:firstLine="420" w:firstLineChars="200"/>
        <w:rPr>
          <w:rFonts w:hint="eastAsia" w:ascii="宋体" w:hAnsi="宋体" w:eastAsia="宋体" w:cs="宋体"/>
          <w:highlight w:val="none"/>
        </w:rPr>
      </w:pPr>
      <w:r>
        <w:rPr>
          <w:rFonts w:hint="eastAsia" w:ascii="宋体" w:hAnsi="宋体" w:eastAsia="宋体" w:cs="宋体"/>
          <w:highlight w:val="none"/>
        </w:rPr>
        <w:t xml:space="preserve">DL/T </w:t>
      </w:r>
      <w:r>
        <w:rPr>
          <w:rFonts w:hint="eastAsia" w:ascii="宋体" w:hAnsi="宋体" w:eastAsia="宋体" w:cs="宋体"/>
          <w:highlight w:val="none"/>
          <w:lang w:val="en-US" w:eastAsia="zh-CN"/>
        </w:rPr>
        <w:t xml:space="preserve">  </w:t>
      </w:r>
      <w:r>
        <w:rPr>
          <w:rFonts w:hint="eastAsia" w:ascii="宋体" w:hAnsi="宋体" w:eastAsia="宋体" w:cs="宋体"/>
          <w:highlight w:val="none"/>
        </w:rPr>
        <w:t>5493</w:t>
      </w:r>
      <w:r>
        <w:rPr>
          <w:rFonts w:hint="eastAsia" w:ascii="宋体" w:hAnsi="宋体" w:eastAsia="宋体" w:cs="宋体"/>
          <w:highlight w:val="none"/>
          <w:lang w:val="en-US" w:eastAsia="zh-CN"/>
        </w:rPr>
        <w:t xml:space="preserve">   </w:t>
      </w:r>
      <w:r>
        <w:rPr>
          <w:rFonts w:hint="eastAsia" w:ascii="宋体" w:hAnsi="宋体" w:eastAsia="宋体" w:cs="宋体"/>
          <w:highlight w:val="none"/>
        </w:rPr>
        <w:t>电力工程基桩检测技术规程</w:t>
      </w:r>
    </w:p>
    <w:p w14:paraId="70C0D376">
      <w:pPr>
        <w:ind w:firstLine="420" w:firstLineChars="200"/>
        <w:rPr>
          <w:rFonts w:hint="eastAsia" w:ascii="宋体" w:hAnsi="宋体" w:cs="宋体"/>
          <w:highlight w:val="none"/>
        </w:rPr>
      </w:pPr>
      <w:r>
        <w:rPr>
          <w:rFonts w:hint="eastAsia" w:ascii="宋体" w:hAnsi="宋体" w:cs="宋体"/>
          <w:color w:val="000000"/>
        </w:rPr>
        <w:t>NB</w:t>
      </w:r>
      <w:r>
        <w:rPr>
          <w:rFonts w:hint="eastAsia" w:ascii="宋体" w:hAnsi="宋体" w:cs="宋体"/>
          <w:color w:val="000000"/>
          <w:lang w:val="en-US" w:eastAsia="zh-CN"/>
        </w:rPr>
        <w:t>/</w:t>
      </w:r>
      <w:r>
        <w:rPr>
          <w:rFonts w:hint="eastAsia" w:ascii="宋体" w:hAnsi="宋体" w:cs="宋体"/>
          <w:color w:val="000000"/>
        </w:rPr>
        <w:t xml:space="preserve">T </w:t>
      </w:r>
      <w:r>
        <w:rPr>
          <w:rFonts w:hint="eastAsia" w:ascii="宋体" w:hAnsi="宋体" w:cs="宋体"/>
          <w:color w:val="000000"/>
          <w:lang w:val="en-US" w:eastAsia="zh-CN"/>
        </w:rPr>
        <w:t xml:space="preserve"> </w:t>
      </w:r>
      <w:r>
        <w:rPr>
          <w:rFonts w:hint="eastAsia" w:ascii="宋体" w:hAnsi="宋体" w:eastAsia="宋体" w:cs="宋体"/>
          <w:color w:val="000000"/>
          <w:lang w:val="en-US" w:eastAsia="zh-CN"/>
        </w:rPr>
        <w:t xml:space="preserve"> </w:t>
      </w:r>
      <w:r>
        <w:rPr>
          <w:rFonts w:hint="eastAsia" w:ascii="宋体" w:hAnsi="宋体" w:cs="宋体"/>
          <w:color w:val="000000"/>
        </w:rPr>
        <w:t>11353</w:t>
      </w:r>
      <w:r>
        <w:rPr>
          <w:rFonts w:hint="eastAsia" w:ascii="宋体" w:hAnsi="宋体" w:cs="宋体"/>
          <w:color w:val="000000"/>
          <w:lang w:val="en-US" w:eastAsia="zh-CN"/>
        </w:rPr>
        <w:t xml:space="preserve">  </w:t>
      </w:r>
      <w:r>
        <w:rPr>
          <w:rFonts w:hint="eastAsia" w:ascii="宋体" w:hAnsi="宋体" w:cs="宋体"/>
          <w:color w:val="000000"/>
        </w:rPr>
        <w:t>漂浮式光伏发电站施工规范</w:t>
      </w:r>
    </w:p>
    <w:p w14:paraId="47A1C936">
      <w:pPr>
        <w:ind w:firstLine="420" w:firstLineChars="200"/>
        <w:rPr>
          <w:rFonts w:hint="eastAsia" w:ascii="宋体" w:hAnsi="宋体" w:cs="宋体"/>
          <w:highlight w:val="none"/>
        </w:rPr>
      </w:pPr>
      <w:r>
        <w:rPr>
          <w:rFonts w:hint="eastAsia" w:ascii="宋体" w:hAnsi="宋体" w:eastAsia="宋体" w:cs="宋体"/>
        </w:rPr>
        <w:t xml:space="preserve">JGJ </w:t>
      </w:r>
      <w:r>
        <w:rPr>
          <w:rFonts w:hint="eastAsia" w:ascii="宋体" w:hAnsi="宋体" w:eastAsia="宋体" w:cs="宋体"/>
          <w:lang w:val="en-US" w:eastAsia="zh-CN"/>
        </w:rPr>
        <w:t xml:space="preserve">   </w:t>
      </w:r>
      <w:r>
        <w:rPr>
          <w:rFonts w:hint="eastAsia" w:ascii="宋体" w:hAnsi="宋体" w:eastAsia="宋体" w:cs="宋体"/>
        </w:rPr>
        <w:t>94</w:t>
      </w:r>
      <w:r>
        <w:rPr>
          <w:rFonts w:hint="eastAsia" w:ascii="宋体" w:hAnsi="宋体" w:eastAsia="宋体" w:cs="宋体"/>
          <w:lang w:val="en-US" w:eastAsia="zh-CN"/>
        </w:rPr>
        <w:t xml:space="preserve">     </w:t>
      </w:r>
      <w:r>
        <w:rPr>
          <w:rFonts w:hint="eastAsia" w:ascii="宋体" w:hAnsi="宋体" w:eastAsia="宋体" w:cs="宋体"/>
        </w:rPr>
        <w:t>建筑桩基技术规范</w:t>
      </w:r>
    </w:p>
    <w:p w14:paraId="3AF3CC95">
      <w:pPr>
        <w:pStyle w:val="49"/>
        <w:spacing w:before="240" w:after="240"/>
        <w:rPr>
          <w:color w:val="000000"/>
        </w:rPr>
      </w:pPr>
      <w:bookmarkStart w:id="57" w:name="_Toc155604543"/>
      <w:bookmarkStart w:id="58" w:name="_Toc155628704"/>
      <w:bookmarkStart w:id="59" w:name="_Toc155628767"/>
      <w:bookmarkStart w:id="60" w:name="_Toc155714323"/>
      <w:bookmarkStart w:id="61" w:name="_Toc24466"/>
      <w:bookmarkStart w:id="62" w:name="_Toc7112"/>
      <w:bookmarkStart w:id="63" w:name="_Toc97192966"/>
      <w:bookmarkStart w:id="64" w:name="_Toc155714263"/>
      <w:r>
        <w:rPr>
          <w:rFonts w:hint="eastAsia"/>
          <w:color w:val="000000"/>
          <w:szCs w:val="21"/>
        </w:rPr>
        <w:t>术语和定义</w:t>
      </w:r>
      <w:bookmarkEnd w:id="57"/>
      <w:bookmarkEnd w:id="58"/>
      <w:bookmarkEnd w:id="59"/>
      <w:bookmarkEnd w:id="60"/>
      <w:bookmarkEnd w:id="61"/>
      <w:bookmarkEnd w:id="62"/>
      <w:bookmarkEnd w:id="63"/>
      <w:bookmarkEnd w:id="64"/>
    </w:p>
    <w:p w14:paraId="7D55E68A">
      <w:pPr>
        <w:pStyle w:val="32"/>
        <w:ind w:firstLine="420"/>
        <w:rPr>
          <w:color w:val="000000"/>
        </w:rPr>
      </w:pPr>
      <w:bookmarkStart w:id="65" w:name="_Toc26986532"/>
      <w:bookmarkEnd w:id="65"/>
      <w:r>
        <w:rPr>
          <w:color w:val="000000"/>
        </w:rPr>
        <w:t>下列术语和定义适用于本文件。</w:t>
      </w:r>
    </w:p>
    <w:p w14:paraId="11750C4B">
      <w:pPr>
        <w:pStyle w:val="64"/>
        <w:ind w:left="420" w:hanging="420" w:hangingChars="200"/>
        <w:rPr>
          <w:rFonts w:ascii="黑体" w:hAnsi="黑体" w:eastAsia="黑体"/>
          <w:color w:val="000000"/>
        </w:rPr>
      </w:pPr>
      <w:bookmarkStart w:id="66" w:name="_Toc17460"/>
      <w:r>
        <w:rPr>
          <w:rFonts w:ascii="黑体" w:hAnsi="黑体" w:eastAsia="黑体"/>
          <w:color w:val="000000"/>
        </w:rPr>
        <w:br w:type="textWrapping"/>
      </w:r>
      <w:r>
        <w:rPr>
          <w:rFonts w:hint="eastAsia" w:ascii="黑体" w:hAnsi="黑体" w:eastAsia="黑体"/>
          <w:color w:val="000000"/>
        </w:rPr>
        <w:t>光伏发电工程  photovoltaic power project</w:t>
      </w:r>
      <w:bookmarkEnd w:id="66"/>
    </w:p>
    <w:p w14:paraId="339087AE">
      <w:pPr>
        <w:pStyle w:val="32"/>
        <w:ind w:firstLine="420"/>
        <w:rPr>
          <w:rFonts w:hint="eastAsia"/>
          <w:color w:val="000000"/>
        </w:rPr>
      </w:pPr>
      <w:r>
        <w:rPr>
          <w:rFonts w:hint="eastAsia"/>
          <w:color w:val="000000"/>
        </w:rPr>
        <w:t>利用光伏组件将太阳能转换为电能、并与公共电网有电气连接的工程实体,由光伏组件、逆变器、线路等电气设备、监控系统和建(构)筑物组成。主要包括地面集中式光伏电站、分布式光伏发电系统、特殊场景光伏项目（复合应用型）、海上光伏发电等光伏发电工程。</w:t>
      </w:r>
    </w:p>
    <w:p w14:paraId="3D29D919">
      <w:pPr>
        <w:pStyle w:val="64"/>
        <w:ind w:left="420" w:hanging="420" w:hangingChars="200"/>
        <w:rPr>
          <w:rFonts w:hint="eastAsia" w:ascii="黑体" w:hAnsi="黑体" w:eastAsia="黑体"/>
          <w:color w:val="000000"/>
        </w:rPr>
      </w:pPr>
      <w:bookmarkStart w:id="67" w:name="_Toc5176"/>
      <w:bookmarkEnd w:id="67"/>
    </w:p>
    <w:p w14:paraId="42EDA9A0">
      <w:pPr>
        <w:pStyle w:val="64"/>
        <w:numPr>
          <w:ilvl w:val="2"/>
          <w:numId w:val="0"/>
        </w:numPr>
        <w:ind w:left="-420" w:leftChars="-200" w:firstLine="840" w:firstLineChars="400"/>
        <w:rPr>
          <w:rFonts w:hint="eastAsia" w:ascii="黑体" w:hAnsi="黑体" w:eastAsia="黑体"/>
          <w:color w:val="000000"/>
        </w:rPr>
      </w:pPr>
      <w:bookmarkStart w:id="68" w:name="_Toc20676"/>
      <w:r>
        <w:rPr>
          <w:rFonts w:hint="eastAsia" w:ascii="黑体" w:hAnsi="黑体" w:eastAsia="黑体"/>
          <w:color w:val="000000"/>
        </w:rPr>
        <w:t>地面集中式光伏</w:t>
      </w:r>
      <w:r>
        <w:rPr>
          <w:rFonts w:hint="eastAsia" w:ascii="黑体" w:hAnsi="黑体" w:eastAsia="黑体"/>
          <w:color w:val="000000"/>
          <w:lang w:val="en-US" w:eastAsia="zh-CN"/>
        </w:rPr>
        <w:t>发电</w:t>
      </w:r>
      <w:r>
        <w:rPr>
          <w:rFonts w:hint="eastAsia" w:ascii="黑体" w:hAnsi="黑体" w:eastAsia="黑体"/>
          <w:color w:val="000000"/>
        </w:rPr>
        <w:t>项目 ground-based concentrated photovoltaic power station</w:t>
      </w:r>
      <w:bookmarkEnd w:id="68"/>
    </w:p>
    <w:p w14:paraId="5D055383">
      <w:pPr>
        <w:pStyle w:val="32"/>
        <w:ind w:firstLine="420"/>
        <w:rPr>
          <w:rFonts w:hint="eastAsia"/>
          <w:color w:val="000000"/>
        </w:rPr>
      </w:pPr>
      <w:r>
        <w:rPr>
          <w:rFonts w:hint="eastAsia"/>
          <w:color w:val="000000"/>
        </w:rPr>
        <w:t>在荒地、沙漠、盐碱地等开阔地面集中规划、大规模建设的光伏项目。</w:t>
      </w:r>
    </w:p>
    <w:p w14:paraId="350C86D7">
      <w:pPr>
        <w:pStyle w:val="64"/>
        <w:ind w:left="420" w:hanging="420" w:hangingChars="200"/>
        <w:rPr>
          <w:rFonts w:ascii="黑体" w:hAnsi="黑体" w:eastAsia="黑体"/>
          <w:color w:val="000000"/>
        </w:rPr>
      </w:pPr>
      <w:bookmarkStart w:id="69" w:name="_Toc15363"/>
      <w:bookmarkEnd w:id="69"/>
    </w:p>
    <w:p w14:paraId="31C7DB88">
      <w:pPr>
        <w:pStyle w:val="32"/>
        <w:ind w:firstLine="420"/>
        <w:rPr>
          <w:rFonts w:hint="eastAsia" w:ascii="黑体" w:hAnsi="黑体" w:eastAsia="黑体"/>
          <w:color w:val="000000"/>
        </w:rPr>
      </w:pPr>
      <w:r>
        <w:rPr>
          <w:rFonts w:hint="eastAsia" w:ascii="黑体" w:hAnsi="黑体" w:eastAsia="黑体"/>
          <w:color w:val="000000"/>
        </w:rPr>
        <w:t>分布式光</w:t>
      </w:r>
      <w:r>
        <w:commentReference w:id="0"/>
      </w:r>
      <w:r>
        <w:rPr>
          <w:rFonts w:hint="eastAsia" w:ascii="黑体" w:hAnsi="黑体" w:eastAsia="黑体"/>
          <w:color w:val="000000"/>
        </w:rPr>
        <w:t>伏发电项目 distributed photovoltaic power system</w:t>
      </w:r>
    </w:p>
    <w:p w14:paraId="26FDECBA">
      <w:pPr>
        <w:pStyle w:val="32"/>
        <w:ind w:firstLine="420"/>
        <w:rPr>
          <w:rFonts w:hint="eastAsia"/>
          <w:color w:val="000000"/>
        </w:rPr>
      </w:pPr>
      <w:r>
        <w:rPr>
          <w:rFonts w:hint="eastAsia"/>
          <w:color w:val="000000"/>
        </w:rPr>
        <w:t>分散安装在屋顶、小型场地等用户侧的光伏项目。</w:t>
      </w:r>
    </w:p>
    <w:p w14:paraId="24F7AC28">
      <w:pPr>
        <w:pStyle w:val="64"/>
        <w:ind w:left="420" w:hanging="420" w:hangingChars="200"/>
        <w:rPr>
          <w:rFonts w:ascii="黑体" w:hAnsi="黑体" w:eastAsia="黑体"/>
          <w:color w:val="000000"/>
        </w:rPr>
      </w:pPr>
      <w:bookmarkStart w:id="70" w:name="_Toc25489"/>
      <w:bookmarkEnd w:id="70"/>
    </w:p>
    <w:p w14:paraId="747A19C6">
      <w:pPr>
        <w:pStyle w:val="64"/>
        <w:numPr>
          <w:ilvl w:val="0"/>
          <w:numId w:val="0"/>
        </w:numPr>
        <w:ind w:left="-420" w:leftChars="-200" w:firstLine="840" w:firstLineChars="400"/>
        <w:rPr>
          <w:rFonts w:ascii="黑体" w:hAnsi="黑体" w:eastAsia="黑体"/>
          <w:color w:val="000000"/>
        </w:rPr>
      </w:pPr>
      <w:bookmarkStart w:id="71" w:name="_Toc3386"/>
      <w:r>
        <w:rPr>
          <w:rFonts w:hint="eastAsia" w:ascii="黑体" w:hAnsi="黑体" w:eastAsia="黑体"/>
          <w:color w:val="000000"/>
        </w:rPr>
        <w:t>特殊场景光伏发电项目 special-situation photovoltaic power project</w:t>
      </w:r>
      <w:bookmarkEnd w:id="71"/>
    </w:p>
    <w:p w14:paraId="2E87091A">
      <w:pPr>
        <w:pStyle w:val="64"/>
        <w:numPr>
          <w:ilvl w:val="2"/>
          <w:numId w:val="0"/>
        </w:numPr>
        <w:ind w:firstLine="420" w:firstLineChars="200"/>
        <w:rPr>
          <w:rFonts w:ascii="黑体" w:hAnsi="黑体" w:eastAsia="黑体"/>
          <w:color w:val="000000"/>
        </w:rPr>
      </w:pPr>
      <w:bookmarkStart w:id="72" w:name="_Toc23219"/>
      <w:r>
        <w:rPr>
          <w:rFonts w:hint="eastAsia"/>
          <w:color w:val="000000"/>
        </w:rPr>
        <w:t>将光伏与农业、林业、建筑、交通、渔业、治沙等其他产业结合，实现 “一地多用”的光伏项目</w:t>
      </w:r>
      <w:r>
        <w:rPr>
          <w:color w:val="000000"/>
        </w:rPr>
        <w:t>。</w:t>
      </w:r>
      <w:bookmarkEnd w:id="72"/>
    </w:p>
    <w:p w14:paraId="5E32FAE2">
      <w:pPr>
        <w:pStyle w:val="64"/>
        <w:ind w:left="420" w:hanging="420" w:hangingChars="200"/>
        <w:rPr>
          <w:rFonts w:ascii="黑体" w:hAnsi="黑体" w:eastAsia="黑体"/>
          <w:color w:val="000000"/>
        </w:rPr>
      </w:pPr>
      <w:bookmarkStart w:id="73" w:name="_Toc20636"/>
      <w:bookmarkEnd w:id="73"/>
    </w:p>
    <w:p w14:paraId="6F961E93">
      <w:pPr>
        <w:pStyle w:val="64"/>
        <w:numPr>
          <w:ilvl w:val="0"/>
          <w:numId w:val="0"/>
        </w:numPr>
        <w:ind w:left="-420" w:leftChars="-200" w:firstLine="840" w:firstLineChars="400"/>
        <w:rPr>
          <w:rFonts w:ascii="黑体" w:hAnsi="黑体" w:eastAsia="黑体"/>
          <w:color w:val="000000"/>
        </w:rPr>
      </w:pPr>
      <w:bookmarkStart w:id="74" w:name="_Toc23249"/>
      <w:r>
        <w:rPr>
          <w:rFonts w:ascii="黑体" w:hAnsi="黑体" w:eastAsia="黑体"/>
          <w:color w:val="000000"/>
        </w:rPr>
        <w:t>海上光伏发电工程</w:t>
      </w:r>
      <w:r>
        <w:rPr>
          <w:rFonts w:hint="eastAsia" w:ascii="黑体" w:hAnsi="黑体" w:eastAsia="黑体"/>
          <w:color w:val="000000"/>
        </w:rPr>
        <w:t xml:space="preserve"> o</w:t>
      </w:r>
      <w:r>
        <w:rPr>
          <w:rFonts w:ascii="黑体" w:hAnsi="黑体" w:eastAsia="黑体"/>
          <w:color w:val="000000"/>
        </w:rPr>
        <w:t xml:space="preserve">ffshore </w:t>
      </w:r>
      <w:r>
        <w:rPr>
          <w:rFonts w:hint="eastAsia" w:ascii="黑体" w:hAnsi="黑体" w:eastAsia="黑体"/>
          <w:color w:val="000000"/>
        </w:rPr>
        <w:t>p</w:t>
      </w:r>
      <w:r>
        <w:rPr>
          <w:rFonts w:ascii="黑体" w:hAnsi="黑体" w:eastAsia="黑体"/>
          <w:color w:val="000000"/>
        </w:rPr>
        <w:t xml:space="preserve">hotovoltaic </w:t>
      </w:r>
      <w:r>
        <w:rPr>
          <w:rFonts w:hint="eastAsia" w:ascii="黑体" w:hAnsi="黑体" w:eastAsia="黑体"/>
          <w:color w:val="000000"/>
        </w:rPr>
        <w:t>p</w:t>
      </w:r>
      <w:r>
        <w:rPr>
          <w:rFonts w:ascii="黑体" w:hAnsi="黑体" w:eastAsia="黑体"/>
          <w:color w:val="000000"/>
        </w:rPr>
        <w:t xml:space="preserve">ower </w:t>
      </w:r>
      <w:r>
        <w:rPr>
          <w:rFonts w:hint="eastAsia" w:ascii="黑体" w:hAnsi="黑体" w:eastAsia="黑体"/>
          <w:color w:val="000000"/>
        </w:rPr>
        <w:t>p</w:t>
      </w:r>
      <w:r>
        <w:rPr>
          <w:rFonts w:ascii="黑体" w:hAnsi="黑体" w:eastAsia="黑体"/>
          <w:color w:val="000000"/>
        </w:rPr>
        <w:t>roject</w:t>
      </w:r>
      <w:bookmarkEnd w:id="74"/>
    </w:p>
    <w:p w14:paraId="663C16B4">
      <w:pPr>
        <w:pStyle w:val="64"/>
        <w:numPr>
          <w:ilvl w:val="0"/>
          <w:numId w:val="0"/>
        </w:numPr>
        <w:ind w:firstLine="420" w:firstLineChars="200"/>
        <w:rPr>
          <w:rFonts w:ascii="黑体" w:hAnsi="黑体" w:eastAsia="黑体"/>
          <w:color w:val="000000"/>
        </w:rPr>
      </w:pPr>
      <w:bookmarkStart w:id="75" w:name="_Toc9103"/>
      <w:r>
        <w:rPr>
          <w:rFonts w:hint="eastAsia"/>
          <w:color w:val="000000"/>
        </w:rPr>
        <w:t>海上光伏发电工程是指利用光伏技术在海洋水域建设发电站的工程。</w:t>
      </w:r>
      <w:bookmarkEnd w:id="75"/>
    </w:p>
    <w:p w14:paraId="6239C0C1">
      <w:pPr>
        <w:pStyle w:val="64"/>
        <w:ind w:left="420" w:hanging="420" w:hangingChars="200"/>
        <w:rPr>
          <w:rFonts w:ascii="黑体" w:hAnsi="黑体" w:eastAsia="黑体"/>
          <w:color w:val="000000"/>
        </w:rPr>
      </w:pPr>
      <w:bookmarkStart w:id="76" w:name="_Toc20912"/>
      <w:r>
        <w:rPr>
          <w:rFonts w:hint="eastAsia" w:ascii="黑体" w:hAnsi="黑体" w:eastAsia="黑体"/>
          <w:color w:val="000000"/>
        </w:rPr>
        <w:t>工程咨询  engineering consulting</w:t>
      </w:r>
      <w:bookmarkEnd w:id="76"/>
    </w:p>
    <w:p w14:paraId="33F41E11">
      <w:pPr>
        <w:pStyle w:val="32"/>
        <w:ind w:firstLine="420"/>
        <w:rPr>
          <w:color w:val="000000"/>
        </w:rPr>
      </w:pPr>
      <w:r>
        <w:rPr>
          <w:rFonts w:hint="eastAsia"/>
          <w:color w:val="000000"/>
        </w:rPr>
        <w:t>以技术为基础，综合运用多学科知识、现代科学和管理方法、工程实践经验，为工程项目建设决策与实施全过程或若干阶段提供咨询和管理的智力服务。</w:t>
      </w:r>
    </w:p>
    <w:p w14:paraId="286FB2AF">
      <w:pPr>
        <w:pStyle w:val="32"/>
        <w:ind w:firstLine="420"/>
        <w:rPr>
          <w:color w:val="000000"/>
        </w:rPr>
      </w:pPr>
      <w:r>
        <w:rPr>
          <w:rFonts w:hint="eastAsia"/>
          <w:color w:val="000000"/>
        </w:rPr>
        <w:t>[来源：GB/Z 40846-2021，3.4，有修改]</w:t>
      </w:r>
    </w:p>
    <w:p w14:paraId="4BE0FDC4">
      <w:pPr>
        <w:pStyle w:val="64"/>
        <w:ind w:left="420" w:hanging="420" w:hangingChars="200"/>
        <w:rPr>
          <w:rFonts w:ascii="黑体" w:hAnsi="黑体" w:eastAsia="黑体"/>
          <w:color w:val="000000"/>
        </w:rPr>
      </w:pPr>
      <w:bookmarkStart w:id="77" w:name="_Toc13041"/>
      <w:r>
        <w:rPr>
          <w:rFonts w:ascii="黑体" w:hAnsi="黑体" w:eastAsia="黑体"/>
          <w:color w:val="000000"/>
        </w:rPr>
        <w:br w:type="textWrapping"/>
      </w:r>
      <w:r>
        <w:rPr>
          <w:rFonts w:hint="eastAsia" w:ascii="黑体" w:hAnsi="黑体" w:eastAsia="黑体"/>
          <w:color w:val="000000"/>
        </w:rPr>
        <w:t>全过程工程咨询 whole process engineering consulting</w:t>
      </w:r>
      <w:bookmarkEnd w:id="77"/>
    </w:p>
    <w:p w14:paraId="42B04E1A">
      <w:pPr>
        <w:pStyle w:val="32"/>
        <w:ind w:firstLine="420"/>
        <w:rPr>
          <w:rFonts w:hint="eastAsia"/>
          <w:color w:val="000000"/>
        </w:rPr>
      </w:pPr>
      <w:r>
        <w:rPr>
          <w:rFonts w:hint="eastAsia"/>
          <w:color w:val="000000"/>
        </w:rPr>
        <w:t>涵盖工程项目生命周期各阶段的持续、全面的咨询服务。</w:t>
      </w:r>
    </w:p>
    <w:p w14:paraId="75597DD7">
      <w:pPr>
        <w:pStyle w:val="32"/>
        <w:ind w:left="399" w:leftChars="190" w:firstLine="0" w:firstLineChars="0"/>
        <w:rPr>
          <w:rFonts w:hint="eastAsia"/>
          <w:color w:val="000000"/>
        </w:rPr>
      </w:pPr>
      <w:r>
        <w:rPr>
          <w:rFonts w:hint="eastAsia"/>
          <w:color w:val="000000"/>
        </w:rPr>
        <w:t>注1:适用时，全过程工程咨询的供方可以是一个或多个独立的咨询机构，或是以适当式的联合体。</w:t>
      </w:r>
    </w:p>
    <w:p w14:paraId="3DFF9268">
      <w:pPr>
        <w:pStyle w:val="32"/>
        <w:ind w:left="399" w:leftChars="190" w:firstLine="0" w:firstLineChars="0"/>
        <w:rPr>
          <w:color w:val="000000"/>
        </w:rPr>
      </w:pPr>
      <w:r>
        <w:rPr>
          <w:rFonts w:hint="eastAsia"/>
          <w:color w:val="000000"/>
        </w:rPr>
        <w:t>注2:咨询服务内容可包括局部或整体解决方案以及技术、管理服务等。</w:t>
      </w:r>
    </w:p>
    <w:p w14:paraId="70BE7A9B">
      <w:pPr>
        <w:pStyle w:val="64"/>
        <w:ind w:left="420" w:hanging="420" w:hangingChars="200"/>
        <w:rPr>
          <w:rFonts w:ascii="黑体" w:hAnsi="黑体" w:eastAsia="黑体"/>
          <w:color w:val="000000"/>
        </w:rPr>
      </w:pPr>
      <w:bookmarkStart w:id="78" w:name="_Toc32306"/>
      <w:r>
        <w:rPr>
          <w:rFonts w:ascii="黑体" w:hAnsi="黑体" w:eastAsia="黑体"/>
          <w:color w:val="000000"/>
        </w:rPr>
        <w:br w:type="textWrapping"/>
      </w:r>
      <w:r>
        <w:rPr>
          <w:rFonts w:hint="eastAsia" w:ascii="黑体" w:hAnsi="黑体" w:eastAsia="黑体"/>
          <w:color w:val="000000"/>
        </w:rPr>
        <w:t>项目管理 engineering project management</w:t>
      </w:r>
      <w:bookmarkEnd w:id="78"/>
    </w:p>
    <w:p w14:paraId="7EED3151">
      <w:pPr>
        <w:pStyle w:val="32"/>
        <w:ind w:firstLine="420"/>
        <w:rPr>
          <w:color w:val="000000"/>
        </w:rPr>
      </w:pPr>
      <w:r>
        <w:rPr>
          <w:rFonts w:hint="eastAsia"/>
          <w:color w:val="000000"/>
        </w:rPr>
        <w:t>为达到既定目标，运用系统的理论和方法对工程项目进行策划、组织、实施、监测和控制的协调活动</w:t>
      </w:r>
    </w:p>
    <w:p w14:paraId="22C558C3">
      <w:pPr>
        <w:pStyle w:val="64"/>
        <w:ind w:left="420" w:hanging="420" w:hangingChars="200"/>
        <w:rPr>
          <w:rFonts w:ascii="黑体" w:hAnsi="黑体" w:eastAsia="黑体"/>
          <w:color w:val="000000"/>
        </w:rPr>
      </w:pPr>
      <w:bookmarkStart w:id="79" w:name="_Toc31122"/>
      <w:r>
        <w:rPr>
          <w:rFonts w:ascii="黑体" w:hAnsi="黑体" w:eastAsia="黑体"/>
          <w:color w:val="000000"/>
        </w:rPr>
        <w:br w:type="textWrapping"/>
      </w:r>
      <w:r>
        <w:rPr>
          <w:rFonts w:hint="eastAsia" w:ascii="黑体" w:hAnsi="黑体" w:eastAsia="黑体"/>
          <w:color w:val="000000"/>
        </w:rPr>
        <w:t>工程咨询单位  engineering consulting unit</w:t>
      </w:r>
      <w:bookmarkEnd w:id="79"/>
    </w:p>
    <w:p w14:paraId="1A4A8AF9">
      <w:pPr>
        <w:pStyle w:val="32"/>
        <w:ind w:firstLine="420"/>
        <w:rPr>
          <w:color w:val="000000"/>
        </w:rPr>
      </w:pPr>
      <w:r>
        <w:rPr>
          <w:rFonts w:hint="eastAsia"/>
          <w:color w:val="000000"/>
        </w:rPr>
        <w:t>为工程项目决策与建设全过程或若干阶段提供咨询和管理的独立法人单位。</w:t>
      </w:r>
    </w:p>
    <w:p w14:paraId="7AE54996">
      <w:pPr>
        <w:pStyle w:val="64"/>
        <w:ind w:left="420" w:hanging="420" w:hangingChars="200"/>
        <w:rPr>
          <w:rFonts w:ascii="黑体" w:hAnsi="黑体" w:eastAsia="黑体"/>
          <w:color w:val="000000"/>
        </w:rPr>
      </w:pPr>
      <w:bookmarkStart w:id="80" w:name="_Toc12667"/>
      <w:r>
        <w:rPr>
          <w:rFonts w:ascii="黑体" w:hAnsi="黑体" w:eastAsia="黑体"/>
          <w:color w:val="000000"/>
        </w:rPr>
        <w:br w:type="textWrapping"/>
      </w:r>
      <w:r>
        <w:rPr>
          <w:rFonts w:hint="eastAsia" w:ascii="黑体" w:hAnsi="黑体" w:eastAsia="黑体"/>
          <w:color w:val="000000"/>
        </w:rPr>
        <w:t>工程咨询机构  engineering consulting department</w:t>
      </w:r>
      <w:bookmarkEnd w:id="80"/>
    </w:p>
    <w:p w14:paraId="3173B4B9">
      <w:pPr>
        <w:pStyle w:val="32"/>
        <w:ind w:firstLine="420"/>
        <w:rPr>
          <w:color w:val="000000"/>
        </w:rPr>
      </w:pPr>
      <w:r>
        <w:rPr>
          <w:rFonts w:hint="eastAsia"/>
          <w:color w:val="000000"/>
        </w:rPr>
        <w:t>工程咨询单位</w:t>
      </w:r>
      <w:commentRangeStart w:id="1"/>
      <w:r>
        <w:rPr>
          <w:rFonts w:hint="eastAsia"/>
          <w:color w:val="000000"/>
        </w:rPr>
        <w:t>（3.</w:t>
      </w:r>
      <w:r>
        <w:rPr>
          <w:rFonts w:hint="eastAsia"/>
          <w:color w:val="000000"/>
          <w:lang w:val="en-US" w:eastAsia="zh-CN"/>
        </w:rPr>
        <w:t>9</w:t>
      </w:r>
      <w:r>
        <w:rPr>
          <w:rFonts w:hint="eastAsia"/>
          <w:color w:val="000000"/>
        </w:rPr>
        <w:t>）</w:t>
      </w:r>
      <w:commentRangeEnd w:id="1"/>
      <w:r>
        <w:commentReference w:id="1"/>
      </w:r>
      <w:r>
        <w:rPr>
          <w:rFonts w:hint="eastAsia"/>
          <w:color w:val="000000"/>
        </w:rPr>
        <w:t>为开展工程咨询服务活动而设立的组织机构。</w:t>
      </w:r>
    </w:p>
    <w:p w14:paraId="5812E7EC">
      <w:pPr>
        <w:pStyle w:val="64"/>
        <w:ind w:left="420" w:hanging="420" w:hangingChars="200"/>
        <w:rPr>
          <w:rFonts w:ascii="黑体" w:hAnsi="黑体" w:eastAsia="黑体"/>
          <w:color w:val="000000"/>
        </w:rPr>
      </w:pPr>
      <w:bookmarkStart w:id="81" w:name="_Toc1871"/>
      <w:r>
        <w:rPr>
          <w:rFonts w:ascii="黑体" w:hAnsi="黑体" w:eastAsia="黑体"/>
          <w:color w:val="000000"/>
        </w:rPr>
        <w:br w:type="textWrapping"/>
      </w:r>
      <w:r>
        <w:rPr>
          <w:rFonts w:hint="eastAsia" w:ascii="黑体" w:hAnsi="黑体" w:eastAsia="黑体"/>
          <w:color w:val="000000"/>
        </w:rPr>
        <w:t>工程咨询项目经理 engineering consulting project manager</w:t>
      </w:r>
      <w:bookmarkEnd w:id="81"/>
    </w:p>
    <w:p w14:paraId="4EC0C472">
      <w:pPr>
        <w:pStyle w:val="32"/>
        <w:ind w:firstLine="420"/>
        <w:rPr>
          <w:color w:val="000000"/>
        </w:rPr>
      </w:pPr>
      <w:r>
        <w:rPr>
          <w:rFonts w:hint="eastAsia"/>
          <w:color w:val="000000"/>
        </w:rPr>
        <w:t>由工程咨询单位（3.</w:t>
      </w:r>
      <w:r>
        <w:rPr>
          <w:rFonts w:hint="eastAsia"/>
          <w:color w:val="000000"/>
          <w:lang w:val="en-US" w:eastAsia="zh-CN"/>
        </w:rPr>
        <w:t>9</w:t>
      </w:r>
      <w:r>
        <w:rPr>
          <w:rFonts w:hint="eastAsia"/>
          <w:color w:val="000000"/>
        </w:rPr>
        <w:t>）法定代表人书面任命，负责履行工程咨询服务合同，主持工程咨询机构（3.1</w:t>
      </w:r>
      <w:r>
        <w:rPr>
          <w:rFonts w:hint="eastAsia"/>
          <w:color w:val="000000"/>
          <w:lang w:val="en-US" w:eastAsia="zh-CN"/>
        </w:rPr>
        <w:t>9</w:t>
      </w:r>
      <w:r>
        <w:rPr>
          <w:rFonts w:hint="eastAsia"/>
          <w:color w:val="000000"/>
        </w:rPr>
        <w:t>）工作的负责人。</w:t>
      </w:r>
    </w:p>
    <w:p w14:paraId="419B3363">
      <w:pPr>
        <w:pStyle w:val="64"/>
        <w:ind w:left="420" w:hanging="420" w:hangingChars="200"/>
        <w:rPr>
          <w:rFonts w:ascii="黑体" w:hAnsi="黑体" w:eastAsia="黑体"/>
          <w:color w:val="000000"/>
        </w:rPr>
      </w:pPr>
      <w:bookmarkStart w:id="82" w:name="_Toc23063"/>
      <w:r>
        <w:rPr>
          <w:rFonts w:ascii="黑体" w:hAnsi="黑体" w:eastAsia="黑体"/>
          <w:color w:val="000000"/>
        </w:rPr>
        <w:br w:type="textWrapping"/>
      </w:r>
      <w:r>
        <w:rPr>
          <w:rFonts w:hint="eastAsia" w:ascii="黑体" w:hAnsi="黑体" w:eastAsia="黑体"/>
          <w:color w:val="000000"/>
        </w:rPr>
        <w:t>专项咨询负责人 person in charge of special consultation</w:t>
      </w:r>
      <w:bookmarkEnd w:id="82"/>
    </w:p>
    <w:p w14:paraId="72CD8C19">
      <w:pPr>
        <w:pStyle w:val="32"/>
        <w:ind w:firstLine="420"/>
        <w:rPr>
          <w:color w:val="000000"/>
        </w:rPr>
      </w:pPr>
      <w:r>
        <w:rPr>
          <w:rFonts w:hint="eastAsia"/>
          <w:color w:val="000000"/>
        </w:rPr>
        <w:t>由工程咨询项目经理（3.1</w:t>
      </w:r>
      <w:r>
        <w:rPr>
          <w:rFonts w:hint="eastAsia"/>
          <w:color w:val="000000"/>
          <w:lang w:val="en-US" w:eastAsia="zh-CN"/>
        </w:rPr>
        <w:t>1</w:t>
      </w:r>
      <w:r>
        <w:rPr>
          <w:rFonts w:hint="eastAsia"/>
          <w:color w:val="000000"/>
        </w:rPr>
        <w:t>）书面授权，具有相应专业咨询业务相适应的资格和能力，支持相应专项咨询服务工作的负责人。</w:t>
      </w:r>
    </w:p>
    <w:p w14:paraId="368E75D2">
      <w:pPr>
        <w:pStyle w:val="32"/>
        <w:ind w:firstLine="420"/>
        <w:rPr>
          <w:color w:val="000000"/>
        </w:rPr>
      </w:pPr>
      <w:r>
        <w:rPr>
          <w:rFonts w:hint="eastAsia"/>
          <w:color w:val="000000"/>
        </w:rPr>
        <w:t>[来源：DL/T 2583-2022，3.7，有修改]</w:t>
      </w:r>
    </w:p>
    <w:p w14:paraId="22CF84CE">
      <w:pPr>
        <w:pStyle w:val="64"/>
        <w:ind w:left="420" w:hanging="420" w:hangingChars="200"/>
        <w:rPr>
          <w:rFonts w:ascii="黑体" w:hAnsi="黑体" w:eastAsia="黑体"/>
          <w:color w:val="000000"/>
        </w:rPr>
      </w:pPr>
      <w:bookmarkStart w:id="83" w:name="_Toc15907"/>
      <w:r>
        <w:rPr>
          <w:rFonts w:ascii="黑体" w:hAnsi="黑体" w:eastAsia="黑体"/>
          <w:color w:val="000000"/>
        </w:rPr>
        <w:br w:type="textWrapping"/>
      </w:r>
      <w:r>
        <w:rPr>
          <w:rFonts w:hint="eastAsia" w:ascii="黑体" w:hAnsi="黑体" w:eastAsia="黑体"/>
          <w:color w:val="000000"/>
        </w:rPr>
        <w:t>专业咨询工程师  specialty engineering consulting engineer</w:t>
      </w:r>
      <w:bookmarkEnd w:id="83"/>
    </w:p>
    <w:p w14:paraId="75FB8A84">
      <w:pPr>
        <w:pStyle w:val="32"/>
        <w:ind w:firstLine="420"/>
        <w:rPr>
          <w:color w:val="000000"/>
        </w:rPr>
      </w:pPr>
      <w:r>
        <w:rPr>
          <w:rFonts w:hint="eastAsia"/>
          <w:color w:val="000000"/>
        </w:rPr>
        <w:t>在工程咨询项目经理（3.1</w:t>
      </w:r>
      <w:r>
        <w:rPr>
          <w:rFonts w:hint="eastAsia"/>
          <w:color w:val="000000"/>
          <w:lang w:val="en-US" w:eastAsia="zh-CN"/>
        </w:rPr>
        <w:t>1</w:t>
      </w:r>
      <w:r>
        <w:rPr>
          <w:rFonts w:hint="eastAsia"/>
          <w:color w:val="000000"/>
        </w:rPr>
        <w:t>）或专项咨询负责人（3.1</w:t>
      </w:r>
      <w:r>
        <w:rPr>
          <w:rFonts w:hint="eastAsia"/>
          <w:color w:val="000000"/>
          <w:lang w:val="en-US" w:eastAsia="zh-CN"/>
        </w:rPr>
        <w:t>2</w:t>
      </w:r>
      <w:r>
        <w:rPr>
          <w:rFonts w:hint="eastAsia"/>
          <w:color w:val="000000"/>
        </w:rPr>
        <w:t>）指导下，负责实施某一专业或某一岗位的工程咨询服务工作的人员。</w:t>
      </w:r>
    </w:p>
    <w:p w14:paraId="4844D93C">
      <w:pPr>
        <w:pStyle w:val="64"/>
        <w:ind w:left="420" w:hanging="420" w:hangingChars="200"/>
        <w:rPr>
          <w:rFonts w:ascii="黑体" w:hAnsi="黑体" w:eastAsia="黑体"/>
          <w:color w:val="000000"/>
        </w:rPr>
      </w:pPr>
      <w:bookmarkStart w:id="84" w:name="_Toc12617"/>
      <w:r>
        <w:rPr>
          <w:rFonts w:ascii="黑体" w:hAnsi="黑体" w:eastAsia="黑体"/>
          <w:color w:val="000000"/>
        </w:rPr>
        <w:br w:type="textWrapping"/>
      </w:r>
      <w:r>
        <w:rPr>
          <w:rFonts w:hint="eastAsia" w:ascii="黑体" w:hAnsi="黑体" w:eastAsia="黑体"/>
          <w:color w:val="000000"/>
        </w:rPr>
        <w:t>工程建设管理纲要  outline of project construction management</w:t>
      </w:r>
      <w:bookmarkEnd w:id="84"/>
    </w:p>
    <w:p w14:paraId="29EFA57E">
      <w:pPr>
        <w:pStyle w:val="32"/>
        <w:ind w:firstLine="420"/>
        <w:rPr>
          <w:color w:val="000000"/>
        </w:rPr>
      </w:pPr>
      <w:r>
        <w:rPr>
          <w:rFonts w:hint="eastAsia"/>
          <w:color w:val="000000"/>
        </w:rPr>
        <w:t>由建设单位组织编制或委托工程咨询单位编制，全面指导工程建设实施的纲领性文件。</w:t>
      </w:r>
    </w:p>
    <w:p w14:paraId="5698CDEE">
      <w:pPr>
        <w:pStyle w:val="64"/>
        <w:ind w:left="420" w:hanging="420" w:hangingChars="200"/>
        <w:rPr>
          <w:rFonts w:ascii="黑体" w:hAnsi="黑体" w:eastAsia="黑体"/>
          <w:color w:val="000000"/>
        </w:rPr>
      </w:pPr>
      <w:bookmarkStart w:id="85" w:name="_Toc7339"/>
      <w:r>
        <w:rPr>
          <w:rFonts w:ascii="黑体" w:hAnsi="黑体" w:eastAsia="黑体"/>
          <w:color w:val="000000"/>
        </w:rPr>
        <w:br w:type="textWrapping"/>
      </w:r>
      <w:r>
        <w:rPr>
          <w:rFonts w:hint="eastAsia" w:ascii="黑体" w:hAnsi="黑体" w:eastAsia="黑体"/>
          <w:color w:val="000000"/>
        </w:rPr>
        <w:t>全过程工程咨询服务规划  whole process project consulting service planning</w:t>
      </w:r>
      <w:bookmarkEnd w:id="85"/>
    </w:p>
    <w:p w14:paraId="348EC1B8">
      <w:pPr>
        <w:pStyle w:val="32"/>
        <w:ind w:firstLine="420"/>
        <w:rPr>
          <w:color w:val="000000"/>
        </w:rPr>
      </w:pPr>
      <w:r>
        <w:rPr>
          <w:rFonts w:hint="eastAsia"/>
          <w:color w:val="000000"/>
        </w:rPr>
        <w:t>工程咨询机构（3.1</w:t>
      </w:r>
      <w:r>
        <w:rPr>
          <w:rFonts w:hint="eastAsia"/>
          <w:color w:val="000000"/>
          <w:lang w:val="en-US" w:eastAsia="zh-CN"/>
        </w:rPr>
        <w:t>0</w:t>
      </w:r>
      <w:r>
        <w:rPr>
          <w:rFonts w:hint="eastAsia"/>
          <w:color w:val="000000"/>
        </w:rPr>
        <w:t>）开展全过程工程咨询服务工作的指导性文件。</w:t>
      </w:r>
    </w:p>
    <w:p w14:paraId="6A8639FD">
      <w:pPr>
        <w:pStyle w:val="64"/>
        <w:ind w:left="420" w:hanging="420" w:hangingChars="200"/>
        <w:rPr>
          <w:rFonts w:ascii="黑体" w:hAnsi="黑体" w:eastAsia="黑体"/>
          <w:color w:val="000000"/>
        </w:rPr>
      </w:pPr>
      <w:bookmarkStart w:id="86" w:name="_Toc25589"/>
      <w:r>
        <w:rPr>
          <w:rFonts w:ascii="黑体" w:hAnsi="黑体" w:eastAsia="黑体"/>
          <w:color w:val="000000"/>
        </w:rPr>
        <w:br w:type="textWrapping"/>
      </w:r>
      <w:r>
        <w:rPr>
          <w:rFonts w:hint="eastAsia" w:ascii="黑体" w:hAnsi="黑体" w:eastAsia="黑体"/>
          <w:color w:val="000000"/>
        </w:rPr>
        <w:t>咨询服务实施细则  implementation rules of special project consulting service</w:t>
      </w:r>
      <w:bookmarkEnd w:id="86"/>
      <w:r>
        <w:rPr>
          <w:rFonts w:hint="eastAsia" w:ascii="黑体" w:hAnsi="黑体" w:eastAsia="黑体"/>
          <w:color w:val="000000"/>
        </w:rPr>
        <w:t xml:space="preserve"> </w:t>
      </w:r>
    </w:p>
    <w:p w14:paraId="68751BD0">
      <w:pPr>
        <w:pStyle w:val="32"/>
        <w:ind w:firstLine="420"/>
        <w:rPr>
          <w:color w:val="000000"/>
        </w:rPr>
      </w:pPr>
      <w:r>
        <w:rPr>
          <w:rFonts w:hint="eastAsia"/>
          <w:color w:val="000000"/>
        </w:rPr>
        <w:t>根据全过程工程咨询服务规划（3.1</w:t>
      </w:r>
      <w:r>
        <w:rPr>
          <w:rFonts w:hint="eastAsia"/>
          <w:color w:val="000000"/>
          <w:lang w:val="en-US" w:eastAsia="zh-CN"/>
        </w:rPr>
        <w:t>5</w:t>
      </w:r>
      <w:r>
        <w:rPr>
          <w:rFonts w:hint="eastAsia"/>
          <w:color w:val="000000"/>
        </w:rPr>
        <w:t>）编制的各阶段、各专业或各类专项咨询工作的操作性文件。</w:t>
      </w:r>
    </w:p>
    <w:p w14:paraId="4D0DE85E">
      <w:pPr>
        <w:pStyle w:val="49"/>
        <w:spacing w:before="240" w:after="240"/>
        <w:rPr>
          <w:color w:val="000000"/>
        </w:rPr>
      </w:pPr>
      <w:bookmarkStart w:id="87" w:name="_Toc30318"/>
      <w:bookmarkStart w:id="88" w:name="_Toc155714324"/>
      <w:bookmarkStart w:id="89" w:name="_Toc155628768"/>
      <w:bookmarkStart w:id="90" w:name="_Toc155714264"/>
      <w:bookmarkStart w:id="91" w:name="_Toc155628705"/>
      <w:bookmarkStart w:id="92" w:name="_Toc23087"/>
      <w:bookmarkStart w:id="93" w:name="_Toc30662"/>
      <w:bookmarkStart w:id="94" w:name="_Toc155604544"/>
      <w:bookmarkStart w:id="95" w:name="_Toc10742"/>
      <w:r>
        <w:rPr>
          <w:rFonts w:hint="eastAsia"/>
          <w:color w:val="000000"/>
        </w:rPr>
        <w:t>总体原则和要求</w:t>
      </w:r>
      <w:bookmarkEnd w:id="87"/>
      <w:bookmarkEnd w:id="88"/>
      <w:bookmarkEnd w:id="89"/>
      <w:bookmarkEnd w:id="90"/>
      <w:bookmarkEnd w:id="91"/>
      <w:bookmarkEnd w:id="92"/>
      <w:bookmarkEnd w:id="93"/>
      <w:bookmarkEnd w:id="94"/>
      <w:bookmarkEnd w:id="95"/>
    </w:p>
    <w:p w14:paraId="79B3E2A3">
      <w:pPr>
        <w:pStyle w:val="50"/>
        <w:rPr>
          <w:color w:val="000000"/>
        </w:rPr>
      </w:pPr>
      <w:bookmarkStart w:id="96" w:name="_Toc7108"/>
      <w:bookmarkStart w:id="97" w:name="_Toc154148935"/>
      <w:bookmarkStart w:id="98" w:name="_Toc154138717"/>
      <w:bookmarkStart w:id="99" w:name="_Toc154146174"/>
      <w:bookmarkStart w:id="100" w:name="_Toc154147200"/>
      <w:bookmarkStart w:id="101" w:name="_Toc154147163"/>
      <w:r>
        <w:rPr>
          <w:rFonts w:hint="eastAsia"/>
          <w:color w:val="000000"/>
        </w:rPr>
        <w:t>为完善工程建设组织模式，提高光伏发电工程全过程工程咨询服务质量，促进工程咨询行业的科学规范和健康发展，实现工程建设目标，制定本文件。</w:t>
      </w:r>
      <w:bookmarkEnd w:id="96"/>
    </w:p>
    <w:p w14:paraId="2F9BF2A0">
      <w:pPr>
        <w:pStyle w:val="50"/>
        <w:rPr>
          <w:color w:val="000000"/>
        </w:rPr>
      </w:pPr>
      <w:bookmarkStart w:id="102" w:name="_Toc29843"/>
      <w:r>
        <w:rPr>
          <w:rFonts w:hint="eastAsia"/>
          <w:color w:val="000000"/>
        </w:rPr>
        <w:t>全过程工程咨询服务应遵循独立、公正、科学的原则，以客户需求为导向，应用数字化、智能化技术和管理手段，推进绿色建造。</w:t>
      </w:r>
      <w:bookmarkEnd w:id="102"/>
    </w:p>
    <w:p w14:paraId="244FB32F">
      <w:pPr>
        <w:pStyle w:val="50"/>
        <w:rPr>
          <w:color w:val="000000"/>
        </w:rPr>
      </w:pPr>
      <w:bookmarkStart w:id="103" w:name="_Toc12911"/>
      <w:r>
        <w:rPr>
          <w:rFonts w:hint="eastAsia"/>
          <w:color w:val="000000"/>
        </w:rPr>
        <w:t>承揽全过程工程咨询服务的单位应具有与项目规模和委托工作内容相适应的投资咨询、监理、设计等一项或多项资质，并具备相应能力。</w:t>
      </w:r>
      <w:bookmarkEnd w:id="103"/>
    </w:p>
    <w:p w14:paraId="50722F3A">
      <w:pPr>
        <w:pStyle w:val="50"/>
        <w:rPr>
          <w:color w:val="000000"/>
        </w:rPr>
      </w:pPr>
      <w:bookmarkStart w:id="104" w:name="_Toc26417"/>
      <w:r>
        <w:rPr>
          <w:rFonts w:hint="eastAsia"/>
          <w:color w:val="000000"/>
        </w:rPr>
        <w:t>工程咨询单位应自行完成其资质范围内的咨询服务，可将承担的一项或多项专项咨询依法委托给具有相应资质的单位实施。</w:t>
      </w:r>
      <w:bookmarkEnd w:id="104"/>
    </w:p>
    <w:p w14:paraId="541E7B7C">
      <w:pPr>
        <w:pStyle w:val="50"/>
        <w:rPr>
          <w:color w:val="000000"/>
        </w:rPr>
      </w:pPr>
      <w:bookmarkStart w:id="105" w:name="_Toc26708"/>
      <w:r>
        <w:rPr>
          <w:rFonts w:hint="eastAsia"/>
          <w:color w:val="000000"/>
        </w:rPr>
        <w:t>光伏发电工程全过程工程咨询服务宜采用“项目管理+专项咨询”的模式开展，即承担项目管理工作，并承担部分或全部专项咨询工作。专项咨询服务清单见附录A。</w:t>
      </w:r>
      <w:bookmarkEnd w:id="105"/>
    </w:p>
    <w:p w14:paraId="06309B3C">
      <w:pPr>
        <w:pStyle w:val="50"/>
        <w:rPr>
          <w:color w:val="000000"/>
        </w:rPr>
      </w:pPr>
      <w:bookmarkStart w:id="106" w:name="_Toc1892"/>
      <w:r>
        <w:rPr>
          <w:rFonts w:hint="eastAsia"/>
          <w:color w:val="000000"/>
        </w:rPr>
        <w:t>承揽全过程工程咨询服务的单位不得与项目总承包单位、施工单位以及材料和设备</w:t>
      </w:r>
      <w:r>
        <w:rPr>
          <w:rFonts w:hint="eastAsia"/>
          <w:color w:val="000000"/>
          <w:lang w:val="en-US" w:eastAsia="zh-CN"/>
        </w:rPr>
        <w:t>供应</w:t>
      </w:r>
      <w:r>
        <w:rPr>
          <w:rFonts w:hint="eastAsia"/>
          <w:color w:val="000000"/>
        </w:rPr>
        <w:t>单位有</w:t>
      </w:r>
      <w:r>
        <w:rPr>
          <w:rFonts w:hint="eastAsia"/>
          <w:color w:val="000000"/>
          <w:lang w:val="en-US" w:eastAsia="zh-CN"/>
        </w:rPr>
        <w:t>影响公正咨询的利害</w:t>
      </w:r>
      <w:r>
        <w:rPr>
          <w:rFonts w:hint="eastAsia"/>
          <w:color w:val="000000"/>
        </w:rPr>
        <w:t>关系。</w:t>
      </w:r>
      <w:bookmarkEnd w:id="106"/>
    </w:p>
    <w:p w14:paraId="2C7E0A9D">
      <w:pPr>
        <w:pStyle w:val="50"/>
        <w:rPr>
          <w:color w:val="000000"/>
        </w:rPr>
      </w:pPr>
      <w:bookmarkStart w:id="107" w:name="_Toc192"/>
      <w:r>
        <w:rPr>
          <w:rFonts w:hint="eastAsia"/>
          <w:color w:val="000000"/>
        </w:rPr>
        <w:t>建设单位与工程咨询单位应依法签订全过程工程咨询服务合同，明确工程咨询的服务内容和权利义务。</w:t>
      </w:r>
      <w:bookmarkEnd w:id="107"/>
    </w:p>
    <w:p w14:paraId="198C2B15">
      <w:pPr>
        <w:pStyle w:val="50"/>
        <w:rPr>
          <w:color w:val="000000"/>
        </w:rPr>
      </w:pPr>
      <w:bookmarkStart w:id="108" w:name="_Toc5943"/>
      <w:r>
        <w:rPr>
          <w:rFonts w:hint="eastAsia"/>
          <w:color w:val="000000"/>
        </w:rPr>
        <w:t>在工程咨询服务委托范围内，建设单位与工程参建单位之间涉及建设工程合同的联系活动，应通过工程咨询机构进行。</w:t>
      </w:r>
      <w:bookmarkEnd w:id="108"/>
    </w:p>
    <w:p w14:paraId="6679F7EF">
      <w:pPr>
        <w:pStyle w:val="50"/>
        <w:rPr>
          <w:color w:val="000000"/>
        </w:rPr>
      </w:pPr>
      <w:bookmarkStart w:id="109" w:name="_Toc31133"/>
      <w:r>
        <w:rPr>
          <w:rFonts w:hint="eastAsia"/>
          <w:color w:val="000000"/>
        </w:rPr>
        <w:t>全过程工程咨询服务根据项目建设规模、委托模式、服务范围和内容等因素确定费用，宜采取“项目管理+专项咨询”的方式计费，计费标准参考《电网项目全过程工程咨询服务导则》附录B。</w:t>
      </w:r>
      <w:bookmarkEnd w:id="109"/>
    </w:p>
    <w:p w14:paraId="159331C1">
      <w:pPr>
        <w:pStyle w:val="49"/>
        <w:spacing w:before="240" w:after="240"/>
        <w:rPr>
          <w:color w:val="000000"/>
        </w:rPr>
      </w:pPr>
      <w:bookmarkStart w:id="110" w:name="_Toc155628706"/>
      <w:bookmarkStart w:id="111" w:name="_Toc155714325"/>
      <w:bookmarkStart w:id="112" w:name="_Toc2489"/>
      <w:bookmarkStart w:id="113" w:name="_Toc12855"/>
      <w:bookmarkStart w:id="114" w:name="_Toc155714265"/>
      <w:bookmarkStart w:id="115" w:name="_Toc155628769"/>
      <w:bookmarkStart w:id="116" w:name="_Toc25780"/>
      <w:bookmarkStart w:id="117" w:name="_Toc155604545"/>
      <w:bookmarkStart w:id="118" w:name="_Toc6332"/>
      <w:r>
        <w:rPr>
          <w:rFonts w:hint="eastAsia"/>
          <w:color w:val="000000"/>
        </w:rPr>
        <w:t>工程咨询机构及其设施</w:t>
      </w:r>
      <w:bookmarkEnd w:id="97"/>
      <w:bookmarkEnd w:id="98"/>
      <w:bookmarkEnd w:id="99"/>
      <w:bookmarkEnd w:id="100"/>
      <w:bookmarkEnd w:id="101"/>
      <w:bookmarkEnd w:id="110"/>
      <w:bookmarkEnd w:id="111"/>
      <w:bookmarkEnd w:id="112"/>
      <w:bookmarkEnd w:id="113"/>
      <w:bookmarkEnd w:id="114"/>
      <w:bookmarkEnd w:id="115"/>
      <w:bookmarkEnd w:id="116"/>
      <w:bookmarkEnd w:id="117"/>
      <w:bookmarkEnd w:id="118"/>
    </w:p>
    <w:p w14:paraId="3BF93EC8">
      <w:pPr>
        <w:pStyle w:val="51"/>
        <w:spacing w:before="120" w:after="120"/>
        <w:rPr>
          <w:color w:val="000000"/>
        </w:rPr>
      </w:pPr>
      <w:bookmarkStart w:id="119" w:name="_Toc154146175"/>
      <w:bookmarkStart w:id="120" w:name="_Toc155714266"/>
      <w:bookmarkStart w:id="121" w:name="_Toc155628707"/>
      <w:bookmarkStart w:id="122" w:name="_Toc154138718"/>
      <w:bookmarkStart w:id="123" w:name="_Toc346"/>
      <w:bookmarkStart w:id="124" w:name="_Toc155714326"/>
      <w:bookmarkStart w:id="125" w:name="_Toc155604546"/>
      <w:bookmarkStart w:id="126" w:name="_Toc18947"/>
      <w:bookmarkStart w:id="127" w:name="_Toc154147164"/>
      <w:bookmarkStart w:id="128" w:name="_Toc155628770"/>
      <w:r>
        <w:rPr>
          <w:rFonts w:hint="eastAsia"/>
          <w:color w:val="000000"/>
        </w:rPr>
        <w:t>一般规定</w:t>
      </w:r>
      <w:bookmarkEnd w:id="119"/>
      <w:bookmarkEnd w:id="120"/>
      <w:bookmarkEnd w:id="121"/>
      <w:bookmarkEnd w:id="122"/>
      <w:bookmarkEnd w:id="123"/>
      <w:bookmarkEnd w:id="124"/>
      <w:bookmarkEnd w:id="125"/>
      <w:bookmarkEnd w:id="126"/>
      <w:bookmarkEnd w:id="127"/>
      <w:bookmarkEnd w:id="128"/>
    </w:p>
    <w:p w14:paraId="13B71B9B">
      <w:pPr>
        <w:pStyle w:val="57"/>
        <w:rPr>
          <w:color w:val="000000"/>
        </w:rPr>
      </w:pPr>
      <w:bookmarkStart w:id="129" w:name="_Toc154147165"/>
      <w:r>
        <w:rPr>
          <w:rFonts w:hint="eastAsia"/>
          <w:color w:val="000000"/>
        </w:rPr>
        <w:t>工程咨询单位履行工程咨询服务合同时，应成立工程咨询机构，并适时派驻现场。工程咨询机构的组织形式和规模，应根据工程咨询服务合同约定的服务内容、服务期限，以及工程规模、技术复杂程度、环境等因素确定。</w:t>
      </w:r>
    </w:p>
    <w:p w14:paraId="33F58C70">
      <w:pPr>
        <w:pStyle w:val="57"/>
        <w:rPr>
          <w:color w:val="000000"/>
        </w:rPr>
      </w:pPr>
      <w:r>
        <w:rPr>
          <w:rFonts w:hint="eastAsia"/>
          <w:color w:val="000000"/>
        </w:rPr>
        <w:t>工程咨询机构人员由工程咨询项目经理、专项咨询负责人、专业咨询工程师和其他咨询辅助人员组成，且专业配套，数量、能力、资格应满足工程咨询服务工作需要。</w:t>
      </w:r>
    </w:p>
    <w:p w14:paraId="1E160D1C">
      <w:pPr>
        <w:pStyle w:val="57"/>
        <w:rPr>
          <w:color w:val="000000"/>
        </w:rPr>
      </w:pPr>
      <w:r>
        <w:rPr>
          <w:rFonts w:hint="eastAsia"/>
          <w:color w:val="000000"/>
        </w:rPr>
        <w:t>全过程工程咨询实行工程咨询项目经理责任制，专项咨询业务在工程咨询项目经理的协调下开展工作，各专项咨询负责人承担相应专项咨询责任。</w:t>
      </w:r>
    </w:p>
    <w:p w14:paraId="7196DC9F">
      <w:pPr>
        <w:pStyle w:val="57"/>
        <w:rPr>
          <w:color w:val="000000"/>
        </w:rPr>
      </w:pPr>
      <w:r>
        <w:rPr>
          <w:rFonts w:hint="eastAsia"/>
          <w:color w:val="000000"/>
        </w:rPr>
        <w:t>工程咨询项目经理应具有与工程类别和规模相适应的工程建设类国家注册执业资格且具有工程类或工程经济类高级职称，并具有类似工程管理经验。</w:t>
      </w:r>
    </w:p>
    <w:p w14:paraId="65751E9C">
      <w:pPr>
        <w:pStyle w:val="57"/>
        <w:rPr>
          <w:color w:val="000000"/>
        </w:rPr>
      </w:pPr>
      <w:r>
        <w:rPr>
          <w:rFonts w:hint="eastAsia"/>
          <w:color w:val="000000"/>
        </w:rPr>
        <w:t>专项咨询负责人、专业咨询工程师应具有与专项、专业咨询工作对应的注册执业资格，或具有工程类、工程经济类中级及以上职称。</w:t>
      </w:r>
    </w:p>
    <w:p w14:paraId="1C2E3189">
      <w:pPr>
        <w:pStyle w:val="57"/>
        <w:rPr>
          <w:color w:val="000000"/>
        </w:rPr>
      </w:pPr>
      <w:r>
        <w:rPr>
          <w:rFonts w:hint="eastAsia"/>
          <w:color w:val="000000"/>
        </w:rPr>
        <w:t>工程咨询单位在全过程工程咨询服务合同签订后，应将工程咨询机构的组织形式、人员构成和工程咨询项目经理任命文件报建设单位备案。</w:t>
      </w:r>
    </w:p>
    <w:p w14:paraId="6C7ACA80">
      <w:pPr>
        <w:pStyle w:val="57"/>
        <w:rPr>
          <w:color w:val="000000"/>
        </w:rPr>
      </w:pPr>
      <w:r>
        <w:rPr>
          <w:rFonts w:hint="eastAsia"/>
          <w:color w:val="000000"/>
        </w:rPr>
        <w:t>工程咨询单位调换工程咨询项目经理时，应事先征得建设单位同意，并履行书面审批程序；调换专项咨询负责人、专业咨询工程师时，工程咨询机构应</w:t>
      </w:r>
      <w:r>
        <w:rPr>
          <w:rFonts w:hint="eastAsia"/>
          <w:color w:val="000000"/>
          <w:lang w:val="en-US" w:eastAsia="zh-CN"/>
        </w:rPr>
        <w:t>征得</w:t>
      </w:r>
      <w:r>
        <w:rPr>
          <w:rFonts w:hint="eastAsia"/>
          <w:color w:val="000000"/>
        </w:rPr>
        <w:t>建设单位</w:t>
      </w:r>
      <w:r>
        <w:rPr>
          <w:rFonts w:hint="eastAsia"/>
          <w:color w:val="000000"/>
          <w:lang w:val="en-US" w:eastAsia="zh-CN"/>
        </w:rPr>
        <w:t>同意</w:t>
      </w:r>
      <w:r>
        <w:rPr>
          <w:rFonts w:hint="eastAsia"/>
          <w:color w:val="000000"/>
        </w:rPr>
        <w:t>。</w:t>
      </w:r>
    </w:p>
    <w:p w14:paraId="63528B47">
      <w:pPr>
        <w:pStyle w:val="57"/>
        <w:rPr>
          <w:color w:val="000000"/>
        </w:rPr>
      </w:pPr>
      <w:r>
        <w:rPr>
          <w:rFonts w:hint="eastAsia"/>
          <w:color w:val="000000"/>
        </w:rPr>
        <w:t>工程咨询机构应根据全过程工程咨询服务合同要求和工程特点，制订完备的全过程工程咨询管理制度，规范工程咨询机构内部以及工程咨询机构与建设单位、相关参建单位间的管理接口和工作流程。</w:t>
      </w:r>
    </w:p>
    <w:p w14:paraId="742AFDD4">
      <w:pPr>
        <w:pStyle w:val="57"/>
        <w:rPr>
          <w:color w:val="000000"/>
        </w:rPr>
      </w:pPr>
      <w:r>
        <w:rPr>
          <w:rFonts w:hint="eastAsia"/>
          <w:color w:val="000000"/>
        </w:rPr>
        <w:t>建设单位应授权熟悉工程项目情况的代表，负责与工程咨询机构联系。建设单位应将工程咨询单位名称，工程咨询项目经理姓名，工程咨询服务范围、内容和权限书面通知相关参建单位。</w:t>
      </w:r>
    </w:p>
    <w:p w14:paraId="2BF6948B">
      <w:pPr>
        <w:pStyle w:val="51"/>
        <w:spacing w:before="120" w:after="120"/>
        <w:rPr>
          <w:color w:val="000000"/>
        </w:rPr>
      </w:pPr>
      <w:bookmarkStart w:id="130" w:name="_Toc155628708"/>
      <w:bookmarkStart w:id="131" w:name="_Toc28578"/>
      <w:bookmarkStart w:id="132" w:name="_Toc27326"/>
      <w:bookmarkStart w:id="133" w:name="_Toc155714267"/>
      <w:bookmarkStart w:id="134" w:name="_Toc155628771"/>
      <w:bookmarkStart w:id="135" w:name="_Toc155714327"/>
      <w:bookmarkStart w:id="136" w:name="_Toc155604547"/>
      <w:r>
        <w:rPr>
          <w:color w:val="000000"/>
        </w:rPr>
        <w:t>工程咨询人员职责</w:t>
      </w:r>
      <w:bookmarkEnd w:id="129"/>
      <w:bookmarkEnd w:id="130"/>
      <w:bookmarkEnd w:id="131"/>
      <w:bookmarkEnd w:id="132"/>
      <w:bookmarkEnd w:id="133"/>
      <w:bookmarkEnd w:id="134"/>
      <w:bookmarkEnd w:id="135"/>
      <w:bookmarkEnd w:id="136"/>
    </w:p>
    <w:p w14:paraId="1AF938CE">
      <w:pPr>
        <w:pStyle w:val="57"/>
        <w:rPr>
          <w:color w:val="000000"/>
        </w:rPr>
      </w:pPr>
      <w:bookmarkStart w:id="137" w:name="_Toc154138719"/>
      <w:bookmarkStart w:id="138" w:name="_Toc154147201"/>
      <w:bookmarkStart w:id="139" w:name="_Toc154146176"/>
      <w:bookmarkStart w:id="140" w:name="_Toc154148936"/>
      <w:bookmarkStart w:id="141" w:name="_Toc154147166"/>
      <w:r>
        <w:rPr>
          <w:rFonts w:hint="eastAsia"/>
          <w:color w:val="000000"/>
        </w:rPr>
        <w:t>工程咨询项目经理应履行以下主要职责：</w:t>
      </w:r>
    </w:p>
    <w:p w14:paraId="02565F2B">
      <w:pPr>
        <w:pStyle w:val="65"/>
        <w:rPr>
          <w:color w:val="000000"/>
        </w:rPr>
      </w:pPr>
      <w:r>
        <w:rPr>
          <w:rFonts w:hint="eastAsia"/>
          <w:color w:val="000000"/>
        </w:rPr>
        <w:t>确定工程咨询机构组织形式、人员结构及其岗位职责，并根据项目进展及时调配工程咨询机构人员；</w:t>
      </w:r>
    </w:p>
    <w:p w14:paraId="539E4559">
      <w:pPr>
        <w:pStyle w:val="65"/>
        <w:rPr>
          <w:color w:val="000000"/>
        </w:rPr>
      </w:pPr>
      <w:r>
        <w:rPr>
          <w:rFonts w:hint="eastAsia"/>
          <w:color w:val="000000"/>
        </w:rPr>
        <w:t>组织编制全过程工程咨询服务规划，批准咨询服务实施细则；</w:t>
      </w:r>
    </w:p>
    <w:p w14:paraId="2DE1DDCA">
      <w:pPr>
        <w:pStyle w:val="65"/>
        <w:rPr>
          <w:color w:val="000000"/>
        </w:rPr>
      </w:pPr>
      <w:r>
        <w:rPr>
          <w:rFonts w:hint="eastAsia"/>
          <w:color w:val="000000"/>
        </w:rPr>
        <w:t>组织制定工程咨询机构决策机制、管理制度等，并组织实施；</w:t>
      </w:r>
    </w:p>
    <w:p w14:paraId="2098F59E">
      <w:pPr>
        <w:pStyle w:val="65"/>
        <w:rPr>
          <w:color w:val="000000"/>
        </w:rPr>
      </w:pPr>
      <w:r>
        <w:rPr>
          <w:rFonts w:hint="eastAsia"/>
          <w:color w:val="000000"/>
        </w:rPr>
        <w:t>主持制定全过程工程咨询工作计划并组织实施，负责相关的组织协调工作；</w:t>
      </w:r>
    </w:p>
    <w:p w14:paraId="4B171068">
      <w:pPr>
        <w:pStyle w:val="65"/>
        <w:rPr>
          <w:color w:val="000000"/>
        </w:rPr>
      </w:pPr>
      <w:r>
        <w:rPr>
          <w:rFonts w:hint="eastAsia"/>
          <w:color w:val="000000"/>
        </w:rPr>
        <w:t>统筹、协调和管理工程各专业、专项咨询服务工作，监督和检查工作计划执行情况，组织评价咨询工作绩效；</w:t>
      </w:r>
    </w:p>
    <w:p w14:paraId="5E306FAF">
      <w:pPr>
        <w:pStyle w:val="65"/>
        <w:rPr>
          <w:color w:val="000000"/>
        </w:rPr>
      </w:pPr>
      <w:r>
        <w:rPr>
          <w:rFonts w:hint="eastAsia"/>
          <w:color w:val="000000"/>
        </w:rPr>
        <w:t>参与组织工程各阶段的重大决策，在授权范围内进行任务分解和资源分配；</w:t>
      </w:r>
    </w:p>
    <w:p w14:paraId="3494F85E">
      <w:pPr>
        <w:pStyle w:val="65"/>
        <w:rPr>
          <w:color w:val="000000"/>
        </w:rPr>
      </w:pPr>
      <w:r>
        <w:rPr>
          <w:rFonts w:hint="eastAsia"/>
          <w:color w:val="000000"/>
        </w:rPr>
        <w:t>按照相关规定审批全过程工程咨询服务成果文件，并在其确认的相关咨询成果文件上签字；</w:t>
      </w:r>
    </w:p>
    <w:p w14:paraId="45A088C3">
      <w:pPr>
        <w:pStyle w:val="65"/>
        <w:rPr>
          <w:color w:val="000000"/>
        </w:rPr>
      </w:pPr>
      <w:r>
        <w:rPr>
          <w:rFonts w:hint="eastAsia"/>
          <w:color w:val="000000"/>
        </w:rPr>
        <w:t>参与或配合全过程工程咨询服务质量事故的调查和处理；</w:t>
      </w:r>
    </w:p>
    <w:p w14:paraId="5D34A4DB">
      <w:pPr>
        <w:pStyle w:val="65"/>
        <w:rPr>
          <w:color w:val="000000"/>
        </w:rPr>
      </w:pPr>
      <w:r>
        <w:rPr>
          <w:rFonts w:hint="eastAsia"/>
          <w:color w:val="000000"/>
        </w:rPr>
        <w:t>建设单位委托赋予的其他权责。</w:t>
      </w:r>
    </w:p>
    <w:p w14:paraId="30E1A01A">
      <w:pPr>
        <w:pStyle w:val="57"/>
        <w:rPr>
          <w:color w:val="000000"/>
        </w:rPr>
      </w:pPr>
      <w:r>
        <w:rPr>
          <w:rFonts w:hint="eastAsia"/>
          <w:color w:val="000000"/>
        </w:rPr>
        <w:t>专项咨询负责人在工程咨询项目经理的指导下，履行以下主要职责：</w:t>
      </w:r>
    </w:p>
    <w:p w14:paraId="6908327C">
      <w:pPr>
        <w:pStyle w:val="65"/>
        <w:numPr>
          <w:ilvl w:val="0"/>
          <w:numId w:val="7"/>
        </w:numPr>
        <w:rPr>
          <w:color w:val="000000"/>
        </w:rPr>
      </w:pPr>
      <w:r>
        <w:rPr>
          <w:rFonts w:hint="eastAsia"/>
          <w:color w:val="000000"/>
        </w:rPr>
        <w:t>参与编制全过程工程咨询服务规划，组织编制咨询服务实施细则；</w:t>
      </w:r>
    </w:p>
    <w:p w14:paraId="53FD132C">
      <w:pPr>
        <w:pStyle w:val="65"/>
        <w:rPr>
          <w:color w:val="000000"/>
        </w:rPr>
      </w:pPr>
      <w:r>
        <w:rPr>
          <w:rFonts w:hint="eastAsia"/>
          <w:color w:val="000000"/>
        </w:rPr>
        <w:t>按照工作计划、任务分配及质量要求等，完成所负责的专项咨询服务工作，对所承担的咨询任务和成果文件负责。</w:t>
      </w:r>
    </w:p>
    <w:p w14:paraId="304D1E82">
      <w:pPr>
        <w:pStyle w:val="57"/>
        <w:rPr>
          <w:color w:val="000000"/>
        </w:rPr>
      </w:pPr>
      <w:r>
        <w:rPr>
          <w:rFonts w:hint="eastAsia"/>
          <w:color w:val="000000"/>
        </w:rPr>
        <w:t>专业咨询工程师在工程咨询项目经理或专项咨询负责人指导下，履行以下职责：</w:t>
      </w:r>
    </w:p>
    <w:p w14:paraId="4C5A1D99">
      <w:pPr>
        <w:pStyle w:val="65"/>
        <w:numPr>
          <w:ilvl w:val="0"/>
          <w:numId w:val="8"/>
        </w:numPr>
        <w:rPr>
          <w:color w:val="000000"/>
        </w:rPr>
      </w:pPr>
      <w:r>
        <w:rPr>
          <w:rFonts w:hint="eastAsia"/>
          <w:color w:val="000000"/>
        </w:rPr>
        <w:t>参与编制全过程工程咨询服务规划</w:t>
      </w:r>
      <w:r>
        <w:rPr>
          <w:rFonts w:hint="eastAsia"/>
          <w:color w:val="000000"/>
          <w:lang w:val="en-US" w:eastAsia="zh-CN"/>
        </w:rPr>
        <w:t>和</w:t>
      </w:r>
      <w:r>
        <w:rPr>
          <w:rFonts w:hint="eastAsia"/>
          <w:color w:val="000000"/>
        </w:rPr>
        <w:t>咨询服务实施细则；</w:t>
      </w:r>
    </w:p>
    <w:p w14:paraId="30693718">
      <w:pPr>
        <w:pStyle w:val="65"/>
        <w:rPr>
          <w:color w:val="000000"/>
        </w:rPr>
      </w:pPr>
      <w:r>
        <w:rPr>
          <w:rFonts w:hint="eastAsia"/>
          <w:color w:val="000000"/>
        </w:rPr>
        <w:t>开展专业范围内的工程咨询服务工作，并负责检查专业范围内其他咨询辅助人员的工作质量。</w:t>
      </w:r>
    </w:p>
    <w:p w14:paraId="03DA39FC">
      <w:pPr>
        <w:pStyle w:val="57"/>
        <w:rPr>
          <w:color w:val="000000"/>
        </w:rPr>
      </w:pPr>
      <w:r>
        <w:rPr>
          <w:rFonts w:hint="eastAsia"/>
          <w:color w:val="000000"/>
        </w:rPr>
        <w:t>其他咨询辅助人员根据岗位职责分工，履行相应咨询职责。</w:t>
      </w:r>
    </w:p>
    <w:p w14:paraId="4296986B">
      <w:pPr>
        <w:pStyle w:val="51"/>
        <w:spacing w:before="120" w:after="120"/>
        <w:rPr>
          <w:color w:val="000000"/>
        </w:rPr>
      </w:pPr>
      <w:bookmarkStart w:id="142" w:name="_Toc155714328"/>
      <w:bookmarkStart w:id="143" w:name="_Toc155628772"/>
      <w:bookmarkStart w:id="144" w:name="_Toc9545"/>
      <w:bookmarkStart w:id="145" w:name="_Toc155628709"/>
      <w:bookmarkStart w:id="146" w:name="_Toc155714268"/>
      <w:bookmarkStart w:id="147" w:name="_Toc155604548"/>
      <w:bookmarkStart w:id="148" w:name="_Toc3148"/>
      <w:r>
        <w:rPr>
          <w:color w:val="000000"/>
        </w:rPr>
        <w:t>工程咨询服务设施</w:t>
      </w:r>
      <w:bookmarkEnd w:id="142"/>
      <w:bookmarkEnd w:id="143"/>
      <w:bookmarkEnd w:id="144"/>
      <w:bookmarkEnd w:id="145"/>
      <w:bookmarkEnd w:id="146"/>
      <w:bookmarkEnd w:id="147"/>
      <w:bookmarkEnd w:id="148"/>
    </w:p>
    <w:p w14:paraId="2D50BCCC">
      <w:pPr>
        <w:pStyle w:val="57"/>
        <w:rPr>
          <w:color w:val="000000"/>
        </w:rPr>
      </w:pPr>
      <w:r>
        <w:rPr>
          <w:rFonts w:hint="eastAsia"/>
          <w:color w:val="000000"/>
        </w:rPr>
        <w:t>建设单位应按照工程咨询服务合同的约定，提供工程咨询服务工作需要的办公设施及生活便利条件，工程咨询机构应妥善使用和保管，并按合同约定的时间移交建设单位。</w:t>
      </w:r>
    </w:p>
    <w:p w14:paraId="182613C7">
      <w:pPr>
        <w:pStyle w:val="57"/>
        <w:rPr>
          <w:color w:val="000000"/>
        </w:rPr>
      </w:pPr>
      <w:r>
        <w:rPr>
          <w:rFonts w:hint="eastAsia"/>
          <w:color w:val="000000"/>
        </w:rPr>
        <w:t>工程咨询单位应按照全过程工程咨询服务合同的约定，配备满足工程咨询机构工作需要的常规检测设备和工器具，以及其他办公、交通和生活设施。</w:t>
      </w:r>
    </w:p>
    <w:p w14:paraId="73D5BC73">
      <w:pPr>
        <w:pStyle w:val="57"/>
        <w:rPr>
          <w:color w:val="000000"/>
        </w:rPr>
      </w:pPr>
      <w:r>
        <w:rPr>
          <w:rFonts w:hint="eastAsia"/>
          <w:color w:val="000000"/>
        </w:rPr>
        <w:t>工程咨询机构宜应用数字化、智能化技术，配置工程数智化管理的人员、设备、软件等资源，对数字化管理平台、信息安全等内容进行管理。</w:t>
      </w:r>
    </w:p>
    <w:p w14:paraId="3F7D50D7">
      <w:pPr>
        <w:pStyle w:val="49"/>
        <w:spacing w:before="240" w:after="240"/>
        <w:rPr>
          <w:color w:val="000000"/>
        </w:rPr>
      </w:pPr>
      <w:bookmarkStart w:id="149" w:name="_Toc12338"/>
      <w:bookmarkStart w:id="150" w:name="_Toc9004"/>
      <w:r>
        <w:rPr>
          <w:rFonts w:hint="eastAsia"/>
          <w:color w:val="000000"/>
        </w:rPr>
        <w:t>工程咨询服务策划</w:t>
      </w:r>
      <w:bookmarkEnd w:id="149"/>
      <w:bookmarkEnd w:id="150"/>
    </w:p>
    <w:p w14:paraId="3F9ADA97">
      <w:pPr>
        <w:pStyle w:val="51"/>
        <w:spacing w:before="120" w:after="120"/>
        <w:rPr>
          <w:color w:val="000000"/>
        </w:rPr>
      </w:pPr>
      <w:bookmarkStart w:id="151" w:name="_Toc6055"/>
      <w:bookmarkStart w:id="152" w:name="_Toc17356"/>
      <w:r>
        <w:rPr>
          <w:rFonts w:hint="eastAsia"/>
          <w:color w:val="000000"/>
        </w:rPr>
        <w:t>一般规定</w:t>
      </w:r>
      <w:bookmarkEnd w:id="151"/>
      <w:bookmarkEnd w:id="152"/>
    </w:p>
    <w:p w14:paraId="66AD6C24">
      <w:pPr>
        <w:pStyle w:val="57"/>
        <w:rPr>
          <w:color w:val="000000"/>
        </w:rPr>
      </w:pPr>
      <w:r>
        <w:rPr>
          <w:rFonts w:hint="eastAsia"/>
          <w:color w:val="000000"/>
        </w:rPr>
        <w:t>工程咨询服务策划文件涵盖全过程工程咨询服务规划、咨询服务实施细则</w:t>
      </w:r>
      <w:r>
        <w:rPr>
          <w:rFonts w:hint="eastAsia"/>
          <w:color w:val="000000"/>
          <w:lang w:eastAsia="zh-CN"/>
        </w:rPr>
        <w:t>、</w:t>
      </w:r>
      <w:r>
        <w:rPr>
          <w:rFonts w:hint="eastAsia"/>
          <w:color w:val="000000"/>
        </w:rPr>
        <w:t>工程咨询服务策划等。</w:t>
      </w:r>
    </w:p>
    <w:p w14:paraId="3A03418F">
      <w:pPr>
        <w:pStyle w:val="57"/>
        <w:rPr>
          <w:color w:val="000000"/>
        </w:rPr>
      </w:pPr>
      <w:r>
        <w:rPr>
          <w:rFonts w:hint="eastAsia"/>
          <w:color w:val="000000"/>
        </w:rPr>
        <w:t>当实际情形或条件出现重大改变时，</w:t>
      </w:r>
      <w:r>
        <w:commentReference w:id="2"/>
      </w:r>
      <w:r>
        <w:rPr>
          <w:rFonts w:hint="eastAsia"/>
          <w:color w:val="000000"/>
        </w:rPr>
        <w:t xml:space="preserve">工程咨询服务策划文件应予以修改和完善，并重新履行审批程序。 </w:t>
      </w:r>
    </w:p>
    <w:p w14:paraId="542C651E">
      <w:pPr>
        <w:pStyle w:val="51"/>
        <w:spacing w:before="120" w:after="120"/>
        <w:rPr>
          <w:color w:val="000000"/>
        </w:rPr>
      </w:pPr>
      <w:bookmarkStart w:id="153" w:name="_Toc20436"/>
      <w:bookmarkStart w:id="154" w:name="_Toc40"/>
      <w:r>
        <w:rPr>
          <w:rFonts w:hint="eastAsia"/>
          <w:color w:val="000000"/>
        </w:rPr>
        <w:t>全过程工程咨询服务规划</w:t>
      </w:r>
      <w:bookmarkEnd w:id="153"/>
      <w:bookmarkEnd w:id="154"/>
    </w:p>
    <w:p w14:paraId="3780C065">
      <w:pPr>
        <w:pStyle w:val="57"/>
        <w:rPr>
          <w:color w:val="000000"/>
        </w:rPr>
      </w:pPr>
      <w:r>
        <w:rPr>
          <w:rFonts w:hint="eastAsia"/>
          <w:color w:val="000000"/>
        </w:rPr>
        <w:t>全过程工程咨询服务规划的编制工作应当遵循工程建设管理纲要规定，并体现全过程工程咨询服务合同的要求。</w:t>
      </w:r>
    </w:p>
    <w:p w14:paraId="4EDA9532">
      <w:pPr>
        <w:pStyle w:val="57"/>
        <w:rPr>
          <w:color w:val="000000"/>
        </w:rPr>
      </w:pPr>
      <w:r>
        <w:rPr>
          <w:rFonts w:hint="eastAsia"/>
          <w:color w:val="000000"/>
        </w:rPr>
        <w:t>全过程工程咨询服务规划应确定项目管理和专项咨询服务之间的责任界面划分和信息共享等原则。</w:t>
      </w:r>
    </w:p>
    <w:p w14:paraId="297C91D3">
      <w:pPr>
        <w:pStyle w:val="57"/>
        <w:rPr>
          <w:color w:val="000000"/>
        </w:rPr>
      </w:pPr>
      <w:r>
        <w:rPr>
          <w:rFonts w:hint="eastAsia"/>
          <w:color w:val="000000"/>
        </w:rPr>
        <w:t>在开展咨询服务前，由工程咨询项目经理组织专业团队</w:t>
      </w:r>
      <w:r>
        <w:rPr>
          <w:rFonts w:hint="eastAsia"/>
          <w:color w:val="000000"/>
          <w:lang w:eastAsia="zh-CN"/>
        </w:rPr>
        <w:t>，</w:t>
      </w:r>
      <w:r>
        <w:rPr>
          <w:rFonts w:hint="eastAsia"/>
          <w:color w:val="000000"/>
          <w:lang w:val="en-US" w:eastAsia="zh-CN"/>
        </w:rPr>
        <w:t>结合项目踏勘情况和建设单位需求</w:t>
      </w:r>
      <w:r>
        <w:rPr>
          <w:rFonts w:hint="eastAsia"/>
          <w:color w:val="000000"/>
          <w:lang w:eastAsia="zh-CN"/>
        </w:rPr>
        <w:t>，</w:t>
      </w:r>
      <w:r>
        <w:rPr>
          <w:rFonts w:hint="eastAsia"/>
          <w:color w:val="000000"/>
        </w:rPr>
        <w:t>编制全过程工程咨询服务规划。</w:t>
      </w:r>
    </w:p>
    <w:p w14:paraId="3670ED50">
      <w:pPr>
        <w:pStyle w:val="57"/>
        <w:rPr>
          <w:color w:val="000000"/>
        </w:rPr>
      </w:pPr>
      <w:r>
        <w:rPr>
          <w:rFonts w:hint="eastAsia"/>
          <w:color w:val="000000"/>
        </w:rPr>
        <w:t>全过程工程咨询服务规划</w:t>
      </w:r>
      <w:r>
        <w:rPr>
          <w:rFonts w:hint="eastAsia"/>
          <w:color w:val="000000"/>
          <w:lang w:val="en-US" w:eastAsia="zh-CN"/>
        </w:rPr>
        <w:t>应由</w:t>
      </w:r>
      <w:r>
        <w:rPr>
          <w:rFonts w:hint="eastAsia"/>
          <w:color w:val="000000"/>
        </w:rPr>
        <w:t>工程咨询单位技术负责人批准，</w:t>
      </w:r>
      <w:r>
        <w:rPr>
          <w:rFonts w:hint="eastAsia"/>
          <w:color w:val="000000"/>
          <w:lang w:val="en-US" w:eastAsia="zh-CN"/>
        </w:rPr>
        <w:t>并</w:t>
      </w:r>
      <w:r>
        <w:rPr>
          <w:rFonts w:hint="eastAsia"/>
          <w:color w:val="000000"/>
        </w:rPr>
        <w:t>报送建设单位。</w:t>
      </w:r>
    </w:p>
    <w:p w14:paraId="0F455E93">
      <w:pPr>
        <w:pStyle w:val="57"/>
        <w:rPr>
          <w:color w:val="000000"/>
        </w:rPr>
      </w:pPr>
      <w:r>
        <w:rPr>
          <w:rFonts w:hint="eastAsia"/>
          <w:color w:val="000000"/>
          <w:lang w:val="en-US" w:eastAsia="zh-CN"/>
        </w:rPr>
        <w:t>在</w:t>
      </w:r>
      <w:r>
        <w:rPr>
          <w:rFonts w:hint="eastAsia"/>
          <w:color w:val="000000"/>
        </w:rPr>
        <w:t>全过程工程咨询服务规划审批通过</w:t>
      </w:r>
      <w:r>
        <w:rPr>
          <w:rFonts w:hint="eastAsia"/>
          <w:color w:val="000000"/>
          <w:lang w:val="en-US" w:eastAsia="zh-CN"/>
        </w:rPr>
        <w:t>后</w:t>
      </w:r>
      <w:r>
        <w:rPr>
          <w:rFonts w:hint="eastAsia"/>
          <w:color w:val="000000"/>
        </w:rPr>
        <w:t>，由咨询项目经理在工程咨询机构内部组织专题会议进行交底，说明规划内容和实施要求，并形成书面交底记录。</w:t>
      </w:r>
    </w:p>
    <w:p w14:paraId="1706A911">
      <w:pPr>
        <w:pStyle w:val="57"/>
        <w:rPr>
          <w:color w:val="000000"/>
        </w:rPr>
      </w:pPr>
      <w:r>
        <w:rPr>
          <w:rFonts w:hint="eastAsia"/>
          <w:color w:val="000000"/>
        </w:rPr>
        <w:t>全过程工程咨询服务规划的主要编制依据：</w:t>
      </w:r>
    </w:p>
    <w:p w14:paraId="1109E662">
      <w:pPr>
        <w:pStyle w:val="65"/>
        <w:numPr>
          <w:ilvl w:val="0"/>
          <w:numId w:val="9"/>
        </w:numPr>
        <w:rPr>
          <w:color w:val="000000"/>
        </w:rPr>
      </w:pPr>
      <w:r>
        <w:rPr>
          <w:rFonts w:hint="eastAsia"/>
          <w:color w:val="000000"/>
        </w:rPr>
        <w:t>现行有效国家、行业有关标准的规定；</w:t>
      </w:r>
    </w:p>
    <w:p w14:paraId="2BE24574">
      <w:pPr>
        <w:pStyle w:val="65"/>
        <w:rPr>
          <w:color w:val="000000"/>
        </w:rPr>
      </w:pPr>
      <w:r>
        <w:rPr>
          <w:rFonts w:hint="eastAsia"/>
          <w:color w:val="000000"/>
        </w:rPr>
        <w:t>项目前期资料及勘察、设计文件；</w:t>
      </w:r>
    </w:p>
    <w:p w14:paraId="050D9684">
      <w:pPr>
        <w:pStyle w:val="65"/>
        <w:rPr>
          <w:color w:val="000000"/>
        </w:rPr>
      </w:pPr>
      <w:r>
        <w:rPr>
          <w:rFonts w:hint="eastAsia"/>
          <w:color w:val="000000"/>
        </w:rPr>
        <w:t>全过程工程咨询服务合同及项目其它合同文件；</w:t>
      </w:r>
    </w:p>
    <w:p w14:paraId="4AD2B577">
      <w:pPr>
        <w:pStyle w:val="65"/>
        <w:rPr>
          <w:color w:val="000000"/>
        </w:rPr>
      </w:pPr>
      <w:r>
        <w:rPr>
          <w:rFonts w:hint="eastAsia"/>
          <w:color w:val="000000"/>
        </w:rPr>
        <w:t>项目现场、周边情况及其它相关资料；</w:t>
      </w:r>
    </w:p>
    <w:p w14:paraId="77F6815F">
      <w:pPr>
        <w:pStyle w:val="65"/>
        <w:rPr>
          <w:color w:val="000000"/>
        </w:rPr>
      </w:pPr>
      <w:r>
        <w:rPr>
          <w:rFonts w:hint="eastAsia"/>
          <w:color w:val="000000"/>
        </w:rPr>
        <w:t>同类项目的相关资料。</w:t>
      </w:r>
    </w:p>
    <w:p w14:paraId="076A2B15">
      <w:pPr>
        <w:pStyle w:val="57"/>
        <w:rPr>
          <w:color w:val="000000"/>
        </w:rPr>
      </w:pPr>
      <w:r>
        <w:rPr>
          <w:rFonts w:hint="eastAsia"/>
          <w:color w:val="000000"/>
        </w:rPr>
        <w:t>全过程工程咨询服务规划应包括下列主要内容：</w:t>
      </w:r>
    </w:p>
    <w:p w14:paraId="00BF4596">
      <w:pPr>
        <w:pStyle w:val="65"/>
        <w:numPr>
          <w:ilvl w:val="0"/>
          <w:numId w:val="10"/>
        </w:numPr>
        <w:rPr>
          <w:rFonts w:hint="eastAsia"/>
          <w:color w:val="000000"/>
        </w:rPr>
      </w:pPr>
      <w:r>
        <w:rPr>
          <w:rFonts w:hint="eastAsia"/>
          <w:color w:val="000000"/>
        </w:rPr>
        <w:t>工程项目概况；</w:t>
      </w:r>
    </w:p>
    <w:p w14:paraId="5CDDADDD">
      <w:pPr>
        <w:pStyle w:val="65"/>
        <w:numPr>
          <w:ilvl w:val="0"/>
          <w:numId w:val="10"/>
        </w:numPr>
        <w:rPr>
          <w:rFonts w:hint="eastAsia"/>
          <w:color w:val="000000"/>
        </w:rPr>
      </w:pPr>
      <w:r>
        <w:rPr>
          <w:rFonts w:hint="eastAsia"/>
          <w:color w:val="000000"/>
        </w:rPr>
        <w:t>编制依据；</w:t>
      </w:r>
    </w:p>
    <w:p w14:paraId="4BA8D8FC">
      <w:pPr>
        <w:pStyle w:val="65"/>
        <w:numPr>
          <w:ilvl w:val="0"/>
          <w:numId w:val="10"/>
        </w:numPr>
        <w:rPr>
          <w:rFonts w:hint="eastAsia"/>
          <w:color w:val="000000"/>
        </w:rPr>
      </w:pPr>
      <w:r>
        <w:rPr>
          <w:rFonts w:hint="eastAsia"/>
          <w:color w:val="000000"/>
        </w:rPr>
        <w:t>工程咨询服务范围；</w:t>
      </w:r>
    </w:p>
    <w:p w14:paraId="4DDEB071">
      <w:pPr>
        <w:pStyle w:val="65"/>
        <w:numPr>
          <w:ilvl w:val="0"/>
          <w:numId w:val="10"/>
        </w:numPr>
        <w:rPr>
          <w:rFonts w:hint="eastAsia"/>
          <w:color w:val="000000"/>
        </w:rPr>
      </w:pPr>
      <w:r>
        <w:rPr>
          <w:rFonts w:hint="eastAsia"/>
          <w:color w:val="000000"/>
        </w:rPr>
        <w:t>工程咨询服务内容；</w:t>
      </w:r>
    </w:p>
    <w:p w14:paraId="32D34D5C">
      <w:pPr>
        <w:pStyle w:val="65"/>
        <w:numPr>
          <w:ilvl w:val="0"/>
          <w:numId w:val="10"/>
        </w:numPr>
        <w:rPr>
          <w:rFonts w:hint="eastAsia"/>
          <w:color w:val="000000"/>
        </w:rPr>
      </w:pPr>
      <w:r>
        <w:rPr>
          <w:rFonts w:hint="eastAsia"/>
          <w:color w:val="000000"/>
        </w:rPr>
        <w:t>工程咨询服务目标；</w:t>
      </w:r>
    </w:p>
    <w:p w14:paraId="645B50D4">
      <w:pPr>
        <w:pStyle w:val="65"/>
        <w:numPr>
          <w:ilvl w:val="0"/>
          <w:numId w:val="10"/>
        </w:numPr>
        <w:rPr>
          <w:rFonts w:hint="eastAsia"/>
          <w:color w:val="000000"/>
        </w:rPr>
      </w:pPr>
      <w:r>
        <w:rPr>
          <w:rFonts w:hint="eastAsia"/>
          <w:color w:val="000000"/>
        </w:rPr>
        <w:t>工程咨询服务组织机构；</w:t>
      </w:r>
    </w:p>
    <w:p w14:paraId="39D5A4DD">
      <w:pPr>
        <w:pStyle w:val="65"/>
        <w:numPr>
          <w:ilvl w:val="0"/>
          <w:numId w:val="10"/>
        </w:numPr>
        <w:rPr>
          <w:rFonts w:hint="eastAsia"/>
          <w:color w:val="000000"/>
        </w:rPr>
      </w:pPr>
      <w:r>
        <w:rPr>
          <w:rFonts w:hint="eastAsia"/>
          <w:color w:val="000000"/>
        </w:rPr>
        <w:t>工程咨询管理制度；</w:t>
      </w:r>
    </w:p>
    <w:p w14:paraId="67F555BC">
      <w:pPr>
        <w:pStyle w:val="65"/>
        <w:numPr>
          <w:ilvl w:val="0"/>
          <w:numId w:val="10"/>
        </w:numPr>
        <w:rPr>
          <w:rFonts w:hint="eastAsia"/>
          <w:color w:val="000000"/>
        </w:rPr>
      </w:pPr>
      <w:r>
        <w:rPr>
          <w:rFonts w:hint="eastAsia"/>
          <w:color w:val="000000"/>
        </w:rPr>
        <w:t>工程咨询服务措施；</w:t>
      </w:r>
    </w:p>
    <w:p w14:paraId="02552061">
      <w:pPr>
        <w:pStyle w:val="65"/>
        <w:numPr>
          <w:ilvl w:val="0"/>
          <w:numId w:val="10"/>
        </w:numPr>
        <w:rPr>
          <w:rFonts w:hint="eastAsia"/>
          <w:color w:val="000000"/>
        </w:rPr>
      </w:pPr>
      <w:r>
        <w:rPr>
          <w:rFonts w:hint="eastAsia"/>
          <w:color w:val="000000"/>
        </w:rPr>
        <w:t>工程咨询服务设施；</w:t>
      </w:r>
    </w:p>
    <w:p w14:paraId="0F2E7E12">
      <w:pPr>
        <w:pStyle w:val="65"/>
        <w:numPr>
          <w:ilvl w:val="0"/>
          <w:numId w:val="10"/>
        </w:numPr>
        <w:rPr>
          <w:rFonts w:hint="eastAsia"/>
          <w:color w:val="000000"/>
        </w:rPr>
      </w:pPr>
      <w:r>
        <w:rPr>
          <w:rFonts w:hint="eastAsia"/>
          <w:color w:val="000000"/>
        </w:rPr>
        <w:t>工程咨询服务程序。</w:t>
      </w:r>
    </w:p>
    <w:p w14:paraId="71FE47A8">
      <w:pPr>
        <w:pStyle w:val="51"/>
        <w:spacing w:before="120" w:after="120"/>
        <w:rPr>
          <w:color w:val="000000"/>
        </w:rPr>
      </w:pPr>
      <w:bookmarkStart w:id="155" w:name="_Toc25508"/>
      <w:bookmarkStart w:id="156" w:name="_Toc26887"/>
      <w:r>
        <w:rPr>
          <w:rFonts w:hint="eastAsia"/>
          <w:color w:val="000000"/>
        </w:rPr>
        <w:t>咨询服务实施细则</w:t>
      </w:r>
      <w:bookmarkEnd w:id="155"/>
      <w:bookmarkEnd w:id="156"/>
    </w:p>
    <w:p w14:paraId="5DA23C08">
      <w:pPr>
        <w:pStyle w:val="57"/>
        <w:rPr>
          <w:color w:val="000000"/>
        </w:rPr>
      </w:pPr>
      <w:r>
        <w:rPr>
          <w:rFonts w:hint="eastAsia"/>
          <w:color w:val="000000"/>
        </w:rPr>
        <w:t>咨询服务实施细则需在工程咨询服务工作开始前，由专项咨询负责人组织编制，经工程咨询项目经理批准后实施。</w:t>
      </w:r>
    </w:p>
    <w:p w14:paraId="37B9671A">
      <w:pPr>
        <w:pStyle w:val="57"/>
        <w:rPr>
          <w:color w:val="000000"/>
        </w:rPr>
      </w:pPr>
      <w:r>
        <w:rPr>
          <w:rFonts w:hint="eastAsia"/>
          <w:color w:val="000000"/>
        </w:rPr>
        <w:t>咨询服务实施细则应结合咨询任务特点编制。</w:t>
      </w:r>
    </w:p>
    <w:p w14:paraId="03B78DAF">
      <w:pPr>
        <w:pStyle w:val="57"/>
        <w:rPr>
          <w:color w:val="000000"/>
        </w:rPr>
      </w:pPr>
      <w:r>
        <w:rPr>
          <w:rFonts w:hint="eastAsia"/>
          <w:color w:val="000000"/>
        </w:rPr>
        <w:t xml:space="preserve">在咨询服务实施细则实施前，由专项咨询负责人在工程咨询机构内部交底并形成记录。 </w:t>
      </w:r>
    </w:p>
    <w:p w14:paraId="6B4C0091">
      <w:pPr>
        <w:pStyle w:val="57"/>
        <w:rPr>
          <w:color w:val="000000"/>
        </w:rPr>
      </w:pPr>
      <w:r>
        <w:rPr>
          <w:rFonts w:hint="eastAsia"/>
          <w:color w:val="000000"/>
        </w:rPr>
        <w:t>咨询服务实施细则的主要编制依据：</w:t>
      </w:r>
    </w:p>
    <w:p w14:paraId="403EEA6B">
      <w:pPr>
        <w:pStyle w:val="65"/>
        <w:numPr>
          <w:ilvl w:val="0"/>
          <w:numId w:val="11"/>
        </w:numPr>
        <w:rPr>
          <w:color w:val="000000"/>
        </w:rPr>
      </w:pPr>
      <w:r>
        <w:rPr>
          <w:rFonts w:hint="eastAsia"/>
          <w:color w:val="000000"/>
        </w:rPr>
        <w:t>适用的法律、法规、规程、规范及标准；</w:t>
      </w:r>
    </w:p>
    <w:p w14:paraId="2677D9B0">
      <w:pPr>
        <w:pStyle w:val="65"/>
        <w:rPr>
          <w:color w:val="000000"/>
        </w:rPr>
      </w:pPr>
      <w:r>
        <w:rPr>
          <w:rFonts w:hint="eastAsia"/>
          <w:color w:val="000000"/>
        </w:rPr>
        <w:t>已批准的全过程工程咨询服务规划；</w:t>
      </w:r>
    </w:p>
    <w:p w14:paraId="19BF351D">
      <w:pPr>
        <w:pStyle w:val="65"/>
        <w:rPr>
          <w:color w:val="000000"/>
        </w:rPr>
      </w:pPr>
      <w:r>
        <w:rPr>
          <w:rFonts w:hint="eastAsia"/>
          <w:color w:val="000000"/>
        </w:rPr>
        <w:t>相关的设计文件和技术资料；</w:t>
      </w:r>
    </w:p>
    <w:p w14:paraId="0BD4A7B2">
      <w:pPr>
        <w:pStyle w:val="65"/>
        <w:rPr>
          <w:color w:val="000000"/>
        </w:rPr>
      </w:pPr>
      <w:r>
        <w:rPr>
          <w:rFonts w:hint="eastAsia"/>
          <w:color w:val="000000"/>
        </w:rPr>
        <w:t>与专项咨询相关的合同文件及项目文件；</w:t>
      </w:r>
    </w:p>
    <w:p w14:paraId="616C9AFE">
      <w:pPr>
        <w:pStyle w:val="65"/>
        <w:rPr>
          <w:color w:val="000000"/>
        </w:rPr>
      </w:pPr>
      <w:r>
        <w:rPr>
          <w:rFonts w:hint="eastAsia"/>
          <w:color w:val="000000"/>
        </w:rPr>
        <w:t>其它相关文件。</w:t>
      </w:r>
    </w:p>
    <w:p w14:paraId="027B9C18">
      <w:pPr>
        <w:pStyle w:val="57"/>
        <w:rPr>
          <w:color w:val="000000"/>
        </w:rPr>
      </w:pPr>
      <w:r>
        <w:rPr>
          <w:rFonts w:hint="eastAsia"/>
          <w:color w:val="000000"/>
        </w:rPr>
        <w:t>咨询服务实施细则应包括下列主要内容：</w:t>
      </w:r>
    </w:p>
    <w:p w14:paraId="12B500DC">
      <w:pPr>
        <w:pStyle w:val="65"/>
        <w:numPr>
          <w:ilvl w:val="0"/>
          <w:numId w:val="12"/>
        </w:numPr>
        <w:rPr>
          <w:color w:val="000000"/>
        </w:rPr>
      </w:pPr>
      <w:r>
        <w:rPr>
          <w:rFonts w:hint="eastAsia"/>
          <w:color w:val="000000"/>
        </w:rPr>
        <w:t>工程特点；</w:t>
      </w:r>
    </w:p>
    <w:p w14:paraId="1C9F562C">
      <w:pPr>
        <w:pStyle w:val="65"/>
        <w:rPr>
          <w:color w:val="000000"/>
        </w:rPr>
      </w:pPr>
      <w:r>
        <w:rPr>
          <w:rFonts w:hint="eastAsia"/>
          <w:color w:val="000000"/>
        </w:rPr>
        <w:t>编制依据；</w:t>
      </w:r>
    </w:p>
    <w:p w14:paraId="628B48F5">
      <w:pPr>
        <w:pStyle w:val="65"/>
        <w:rPr>
          <w:color w:val="000000"/>
        </w:rPr>
      </w:pPr>
      <w:r>
        <w:rPr>
          <w:rFonts w:hint="eastAsia"/>
          <w:color w:val="000000"/>
        </w:rPr>
        <w:t>专项咨询服务分解目标、范围及内容；</w:t>
      </w:r>
    </w:p>
    <w:p w14:paraId="57D02B7C">
      <w:pPr>
        <w:pStyle w:val="65"/>
        <w:rPr>
          <w:color w:val="000000"/>
        </w:rPr>
      </w:pPr>
      <w:r>
        <w:rPr>
          <w:rFonts w:hint="eastAsia"/>
          <w:color w:val="000000"/>
        </w:rPr>
        <w:t>专项咨询服务控制的重点及难点；</w:t>
      </w:r>
    </w:p>
    <w:p w14:paraId="06A41409">
      <w:pPr>
        <w:pStyle w:val="65"/>
        <w:rPr>
          <w:color w:val="000000"/>
        </w:rPr>
      </w:pPr>
      <w:r>
        <w:rPr>
          <w:rFonts w:hint="eastAsia"/>
          <w:color w:val="000000"/>
        </w:rPr>
        <w:t>专项咨询方法及措施；</w:t>
      </w:r>
    </w:p>
    <w:p w14:paraId="434B0306">
      <w:pPr>
        <w:pStyle w:val="65"/>
        <w:rPr>
          <w:color w:val="000000"/>
        </w:rPr>
      </w:pPr>
      <w:r>
        <w:rPr>
          <w:rFonts w:hint="eastAsia"/>
          <w:color w:val="000000"/>
        </w:rPr>
        <w:t>与其它专项咨询的集成实施策划；</w:t>
      </w:r>
    </w:p>
    <w:p w14:paraId="1EC36814">
      <w:pPr>
        <w:pStyle w:val="65"/>
        <w:rPr>
          <w:color w:val="000000"/>
        </w:rPr>
      </w:pPr>
      <w:r>
        <w:rPr>
          <w:rFonts w:hint="eastAsia"/>
          <w:color w:val="000000"/>
        </w:rPr>
        <w:t>专项咨询服务成果。</w:t>
      </w:r>
      <w:bookmarkEnd w:id="137"/>
      <w:bookmarkEnd w:id="138"/>
      <w:bookmarkEnd w:id="139"/>
      <w:bookmarkEnd w:id="140"/>
      <w:bookmarkEnd w:id="141"/>
    </w:p>
    <w:p w14:paraId="5E38E56E">
      <w:pPr>
        <w:pStyle w:val="49"/>
        <w:spacing w:before="240" w:after="240"/>
        <w:rPr>
          <w:color w:val="000000"/>
        </w:rPr>
      </w:pPr>
      <w:bookmarkStart w:id="157" w:name="_Toc2629"/>
      <w:bookmarkStart w:id="158" w:name="_Toc155628714"/>
      <w:bookmarkStart w:id="159" w:name="_Toc155604553"/>
      <w:bookmarkStart w:id="160" w:name="_Toc155714333"/>
      <w:bookmarkStart w:id="161" w:name="_Toc15262"/>
      <w:bookmarkStart w:id="162" w:name="_Toc13369"/>
      <w:bookmarkStart w:id="163" w:name="_Toc155714273"/>
      <w:bookmarkStart w:id="164" w:name="_Toc155628777"/>
      <w:bookmarkStart w:id="165" w:name="_Toc15206"/>
      <w:r>
        <w:rPr>
          <w:rFonts w:hint="eastAsia"/>
          <w:color w:val="000000"/>
        </w:rPr>
        <w:t>项目管理</w:t>
      </w:r>
      <w:bookmarkEnd w:id="157"/>
    </w:p>
    <w:p w14:paraId="2A824C63">
      <w:pPr>
        <w:pStyle w:val="51"/>
        <w:spacing w:before="120" w:after="120"/>
        <w:rPr>
          <w:color w:val="000000"/>
        </w:rPr>
      </w:pPr>
      <w:bookmarkStart w:id="166" w:name="_Toc12777"/>
      <w:r>
        <w:rPr>
          <w:rFonts w:hint="eastAsia"/>
          <w:color w:val="000000"/>
        </w:rPr>
        <w:t>投资决策阶段</w:t>
      </w:r>
      <w:bookmarkEnd w:id="166"/>
    </w:p>
    <w:p w14:paraId="6A1C3831">
      <w:pPr>
        <w:pStyle w:val="58"/>
        <w:spacing w:before="120" w:after="120"/>
        <w:rPr>
          <w:color w:val="000000"/>
        </w:rPr>
      </w:pPr>
      <w:r>
        <w:rPr>
          <w:rFonts w:hint="eastAsia"/>
          <w:color w:val="000000"/>
        </w:rPr>
        <w:t>一般规定</w:t>
      </w:r>
    </w:p>
    <w:p w14:paraId="373AEEEC">
      <w:pPr>
        <w:pStyle w:val="66"/>
        <w:rPr>
          <w:color w:val="000000"/>
        </w:rPr>
      </w:pPr>
      <w:r>
        <w:rPr>
          <w:rFonts w:hint="eastAsia"/>
          <w:color w:val="000000"/>
        </w:rPr>
        <w:t>投资决策阶段主要分为项目建议书、可行性研究、项目备案/核准三个阶段， 主要工作包含协助立项、</w:t>
      </w:r>
      <w:r>
        <w:rPr>
          <w:color w:val="000000"/>
        </w:rPr>
        <w:t>光资源评估</w:t>
      </w:r>
      <w:r>
        <w:rPr>
          <w:rFonts w:hint="eastAsia"/>
          <w:color w:val="000000"/>
        </w:rPr>
        <w:t>、</w:t>
      </w:r>
      <w:r>
        <w:rPr>
          <w:color w:val="000000"/>
        </w:rPr>
        <w:t>阴影遮挡分析</w:t>
      </w:r>
      <w:r>
        <w:rPr>
          <w:rFonts w:hint="eastAsia"/>
          <w:color w:val="000000"/>
        </w:rPr>
        <w:t>、</w:t>
      </w:r>
      <w:r>
        <w:rPr>
          <w:color w:val="000000"/>
        </w:rPr>
        <w:t>生态评估</w:t>
      </w:r>
      <w:r>
        <w:rPr>
          <w:rFonts w:hint="eastAsia"/>
          <w:color w:val="000000"/>
        </w:rPr>
        <w:t>、可行性研究招标、可行性研究报告编制、可行性研究报告审批、规划意见书、土地预审、备案/核准等。</w:t>
      </w:r>
    </w:p>
    <w:p w14:paraId="2BDEB828">
      <w:pPr>
        <w:pStyle w:val="66"/>
        <w:rPr>
          <w:color w:val="000000"/>
        </w:rPr>
      </w:pPr>
      <w:r>
        <w:rPr>
          <w:rFonts w:hint="eastAsia"/>
          <w:color w:val="000000"/>
        </w:rPr>
        <w:t>根据建设单位要求编制项目建议书（政府投资项目）或可行性研究报告（企业投资项目）</w:t>
      </w:r>
      <w:r>
        <w:commentReference w:id="3"/>
      </w:r>
      <w:r>
        <w:rPr>
          <w:rFonts w:hint="eastAsia"/>
          <w:color w:val="000000"/>
        </w:rPr>
        <w:t>，</w:t>
      </w:r>
      <w:r>
        <w:rPr>
          <w:rFonts w:hint="eastAsia"/>
          <w:color w:val="000000"/>
          <w:lang w:val="en-US" w:eastAsia="zh-CN"/>
        </w:rPr>
        <w:t>并取得</w:t>
      </w:r>
      <w:r>
        <w:rPr>
          <w:rFonts w:hint="eastAsia"/>
          <w:color w:val="000000"/>
        </w:rPr>
        <w:t>政府投资管理部门同意开展项目前期工作的意见。</w:t>
      </w:r>
    </w:p>
    <w:p w14:paraId="6B6BEE99">
      <w:pPr>
        <w:pStyle w:val="58"/>
        <w:spacing w:before="120" w:after="120"/>
        <w:rPr>
          <w:color w:val="000000"/>
        </w:rPr>
      </w:pPr>
      <w:r>
        <w:rPr>
          <w:rFonts w:hint="eastAsia"/>
          <w:color w:val="000000"/>
        </w:rPr>
        <w:t>主要咨询工作</w:t>
      </w:r>
    </w:p>
    <w:p w14:paraId="43E8AF59">
      <w:pPr>
        <w:pStyle w:val="66"/>
        <w:rPr>
          <w:color w:val="000000"/>
        </w:rPr>
      </w:pPr>
      <w:r>
        <w:rPr>
          <w:rFonts w:hint="eastAsia"/>
          <w:color w:val="000000"/>
        </w:rPr>
        <w:t>根据国家经济、社会发展的长远规划</w:t>
      </w:r>
      <w:r>
        <w:rPr>
          <w:rFonts w:hint="eastAsia"/>
          <w:color w:val="000000"/>
          <w:lang w:val="en-US" w:eastAsia="zh-CN"/>
        </w:rPr>
        <w:t>及</w:t>
      </w:r>
      <w:r>
        <w:rPr>
          <w:rFonts w:hint="eastAsia"/>
          <w:color w:val="000000"/>
        </w:rPr>
        <w:t>行业地区规划，在收集信息、调查研究的基础上，</w:t>
      </w:r>
      <w:r>
        <w:rPr>
          <w:rFonts w:hint="eastAsia"/>
          <w:color w:val="000000"/>
          <w:lang w:val="en-US" w:eastAsia="zh-CN"/>
        </w:rPr>
        <w:t>协助建设单位</w:t>
      </w:r>
      <w:r>
        <w:rPr>
          <w:rFonts w:hint="eastAsia"/>
          <w:color w:val="000000"/>
        </w:rPr>
        <w:t>提出需要进行可行性研究的项目建议书，按要求协助建设单位开展评审，并取得</w:t>
      </w:r>
      <w:r>
        <w:rPr>
          <w:rFonts w:hint="eastAsia"/>
          <w:color w:val="000000"/>
          <w:lang w:val="en-US" w:eastAsia="zh-CN"/>
        </w:rPr>
        <w:t>政府立项批复</w:t>
      </w:r>
      <w:r>
        <w:rPr>
          <w:rFonts w:hint="eastAsia"/>
          <w:color w:val="000000"/>
        </w:rPr>
        <w:t>。</w:t>
      </w:r>
    </w:p>
    <w:p w14:paraId="60770CF6">
      <w:pPr>
        <w:pStyle w:val="66"/>
        <w:rPr>
          <w:color w:val="000000"/>
        </w:rPr>
      </w:pPr>
      <w:r>
        <w:rPr>
          <w:rFonts w:hint="eastAsia"/>
          <w:color w:val="000000"/>
        </w:rPr>
        <w:t>协助建设单位做好规划选址、资源测评、建设条件论证、市场需求分析等各项准备工作，重点落实光伏电站项目的接网消纳条件，</w:t>
      </w:r>
      <w:r>
        <w:rPr>
          <w:rFonts w:hint="eastAsia"/>
          <w:color w:val="000000"/>
          <w:lang w:val="en-US" w:eastAsia="zh-CN"/>
        </w:rPr>
        <w:t>核查项目在</w:t>
      </w:r>
      <w:r>
        <w:rPr>
          <w:rFonts w:hint="eastAsia"/>
          <w:color w:val="000000"/>
        </w:rPr>
        <w:t>用地用海和河湖管理、生态环保等</w:t>
      </w:r>
      <w:r>
        <w:rPr>
          <w:rFonts w:hint="eastAsia"/>
          <w:color w:val="000000"/>
          <w:lang w:val="en-US" w:eastAsia="zh-CN"/>
        </w:rPr>
        <w:t>方面的符合性</w:t>
      </w:r>
      <w:r>
        <w:rPr>
          <w:rFonts w:hint="eastAsia"/>
          <w:color w:val="000000"/>
        </w:rPr>
        <w:t>。</w:t>
      </w:r>
    </w:p>
    <w:p w14:paraId="64A9D351">
      <w:pPr>
        <w:pStyle w:val="66"/>
        <w:rPr>
          <w:color w:val="000000"/>
        </w:rPr>
      </w:pPr>
      <w:r>
        <w:rPr>
          <w:rFonts w:hint="eastAsia"/>
          <w:color w:val="000000"/>
        </w:rPr>
        <w:t>协助建设单位选址选线，核实土地性质、进站道路、市政配套等相关情况，参与特殊地形、复杂地质条件等关键环节专项评估。</w:t>
      </w:r>
    </w:p>
    <w:p w14:paraId="47457574">
      <w:pPr>
        <w:pStyle w:val="66"/>
        <w:rPr>
          <w:color w:val="000000"/>
        </w:rPr>
      </w:pPr>
      <w:r>
        <w:rPr>
          <w:rFonts w:hint="eastAsia"/>
          <w:color w:val="000000"/>
        </w:rPr>
        <w:t>协助建设单位开展光资源评估工作，按 GB/T 42766相关要求，完成水平面太阳能资源分析与评估、光伏阵列表面太阳能资源分析与评估、光伏发电影响气象因素分析与评估等光资源评估工作。</w:t>
      </w:r>
    </w:p>
    <w:p w14:paraId="6F69854A">
      <w:pPr>
        <w:pStyle w:val="66"/>
        <w:rPr>
          <w:color w:val="000000"/>
        </w:rPr>
      </w:pPr>
      <w:r>
        <w:rPr>
          <w:rFonts w:hint="eastAsia"/>
          <w:color w:val="000000"/>
        </w:rPr>
        <w:t>协助建设单位开展环境影响评价（环评）咨询工作，包括组织编制环境影响报告书（或报告表），配合开展现状监测方案制定与实施，按环境影响评价技术导则等要求完成报告编制并取得生态环境主管部门批复文件。</w:t>
      </w:r>
    </w:p>
    <w:p w14:paraId="266C73D2">
      <w:pPr>
        <w:pStyle w:val="66"/>
        <w:rPr>
          <w:color w:val="000000"/>
        </w:rPr>
      </w:pPr>
      <w:r>
        <w:rPr>
          <w:rFonts w:hint="eastAsia"/>
          <w:color w:val="000000"/>
        </w:rPr>
        <w:t>协助建设单位完成光伏发电太阳能资源评估报告编制工作，对评估报告数据的可靠性和合理性、数据分析的完整性、评价结论的合理性和适用性、评估报告的完整性进行审查，并</w:t>
      </w:r>
      <w:r>
        <w:rPr>
          <w:rFonts w:hint="eastAsia"/>
          <w:color w:val="000000"/>
          <w:lang w:val="en-US" w:eastAsia="zh-CN"/>
        </w:rPr>
        <w:t>协助</w:t>
      </w:r>
      <w:r>
        <w:rPr>
          <w:rFonts w:hint="eastAsia"/>
          <w:color w:val="000000"/>
        </w:rPr>
        <w:t>组织相关专家进行评审。</w:t>
      </w:r>
    </w:p>
    <w:p w14:paraId="576E850C">
      <w:pPr>
        <w:pStyle w:val="66"/>
        <w:rPr>
          <w:color w:val="000000"/>
        </w:rPr>
      </w:pPr>
      <w:r>
        <w:rPr>
          <w:rFonts w:hint="eastAsia"/>
          <w:color w:val="000000"/>
        </w:rPr>
        <w:t>协助建设单位开展阴影遮挡分析工作，确定光伏方阵最小间距，山区应额外考虑地形坡度影响。</w:t>
      </w:r>
    </w:p>
    <w:p w14:paraId="02733480">
      <w:pPr>
        <w:pStyle w:val="66"/>
        <w:rPr>
          <w:color w:val="000000"/>
        </w:rPr>
      </w:pPr>
      <w:r>
        <w:rPr>
          <w:rFonts w:hint="eastAsia"/>
          <w:color w:val="000000"/>
        </w:rPr>
        <w:t>协助建设单位开展生态评估工作，针对集中式光伏</w:t>
      </w:r>
      <w:r>
        <w:rPr>
          <w:rFonts w:hint="eastAsia"/>
          <w:color w:val="000000"/>
          <w:lang w:val="en-US" w:eastAsia="zh-CN"/>
        </w:rPr>
        <w:t>项目</w:t>
      </w:r>
      <w:r>
        <w:rPr>
          <w:rFonts w:hint="eastAsia"/>
          <w:color w:val="000000"/>
        </w:rPr>
        <w:t>，开展土地性质核查，避免占用永久基本农田及生态保护红线。</w:t>
      </w:r>
    </w:p>
    <w:p w14:paraId="7E366134">
      <w:pPr>
        <w:pStyle w:val="66"/>
        <w:rPr>
          <w:color w:val="000000"/>
        </w:rPr>
      </w:pPr>
      <w:r>
        <w:rPr>
          <w:rFonts w:hint="eastAsia"/>
          <w:color w:val="000000"/>
        </w:rPr>
        <w:t>协助建设单位开展水土保持专项论证。</w:t>
      </w:r>
    </w:p>
    <w:p w14:paraId="6F3736F8">
      <w:pPr>
        <w:pStyle w:val="66"/>
        <w:rPr>
          <w:color w:val="000000"/>
        </w:rPr>
      </w:pPr>
      <w:r>
        <w:rPr>
          <w:rFonts w:hint="eastAsia"/>
          <w:color w:val="000000"/>
        </w:rPr>
        <w:t>协助建设单位完善相关支持性文件，参加可行性研究报告评审。</w:t>
      </w:r>
    </w:p>
    <w:p w14:paraId="2FE9F3AA">
      <w:pPr>
        <w:pStyle w:val="66"/>
        <w:rPr>
          <w:color w:val="000000"/>
        </w:rPr>
      </w:pPr>
      <w:r>
        <w:rPr>
          <w:rFonts w:hint="eastAsia"/>
          <w:color w:val="000000"/>
        </w:rPr>
        <w:t>项目可研批复后，受建设单位委托取得项目环评、水保、地灾、压覆矿产、文物等相关支持性报告及批复。</w:t>
      </w:r>
    </w:p>
    <w:p w14:paraId="16D7FFFC">
      <w:pPr>
        <w:pStyle w:val="66"/>
        <w:rPr>
          <w:color w:val="000000"/>
        </w:rPr>
      </w:pPr>
      <w:r>
        <w:rPr>
          <w:rFonts w:hint="eastAsia"/>
          <w:color w:val="000000"/>
        </w:rPr>
        <w:t>根据各省（区、市）制定的本省（区、市）光伏</w:t>
      </w:r>
      <w:r>
        <w:rPr>
          <w:rFonts w:hint="eastAsia"/>
          <w:color w:val="000000"/>
          <w:lang w:val="en-US" w:eastAsia="zh-CN"/>
        </w:rPr>
        <w:t>发电</w:t>
      </w:r>
      <w:r>
        <w:rPr>
          <w:rFonts w:hint="eastAsia"/>
          <w:color w:val="000000"/>
        </w:rPr>
        <w:t>项目备案管理办法</w:t>
      </w:r>
      <w:r>
        <w:rPr>
          <w:rFonts w:hint="eastAsia"/>
          <w:color w:val="000000"/>
          <w:lang w:eastAsia="zh-CN"/>
        </w:rPr>
        <w:t>，</w:t>
      </w:r>
      <w:r>
        <w:rPr>
          <w:rFonts w:hint="eastAsia"/>
          <w:color w:val="000000"/>
          <w:lang w:val="en-US" w:eastAsia="zh-CN"/>
        </w:rPr>
        <w:t>协助建设单位</w:t>
      </w:r>
      <w:r>
        <w:rPr>
          <w:rFonts w:hint="eastAsia"/>
          <w:color w:val="000000"/>
        </w:rPr>
        <w:t>完成项目备案。</w:t>
      </w:r>
    </w:p>
    <w:p w14:paraId="143E8F9B">
      <w:pPr>
        <w:pStyle w:val="66"/>
        <w:rPr>
          <w:color w:val="000000"/>
        </w:rPr>
      </w:pPr>
      <w:r>
        <w:rPr>
          <w:rFonts w:hint="eastAsia"/>
          <w:color w:val="000000"/>
        </w:rPr>
        <w:t>收集整理工程可行性研究报告、可研评审意见及批复、项目备案证等项目投资决策阶段文件。</w:t>
      </w:r>
    </w:p>
    <w:p w14:paraId="5AF97946">
      <w:pPr>
        <w:pStyle w:val="66"/>
        <w:rPr>
          <w:color w:val="000000"/>
        </w:rPr>
      </w:pPr>
      <w:r>
        <w:rPr>
          <w:rFonts w:hint="eastAsia"/>
          <w:color w:val="000000"/>
        </w:rPr>
        <w:t>海上光伏发电项目应收集项目气象、海洋水文、地形地貌与工程地质等基础资料。</w:t>
      </w:r>
    </w:p>
    <w:p w14:paraId="6444013C">
      <w:pPr>
        <w:pStyle w:val="66"/>
        <w:rPr>
          <w:color w:val="000000"/>
          <w:highlight w:val="none"/>
        </w:rPr>
      </w:pPr>
      <w:r>
        <w:rPr>
          <w:rFonts w:hint="eastAsia"/>
          <w:color w:val="000000"/>
          <w:highlight w:val="none"/>
          <w:lang w:val="en-US" w:eastAsia="zh-CN"/>
        </w:rPr>
        <w:t>协助建设单位海上光伏发电项目前期选址与合规核查，包括但不限于：海域功能区划分核查（向自然资源部门查询海域的海洋功能区划）、敏感区域避让确认等。</w:t>
      </w:r>
    </w:p>
    <w:p w14:paraId="6077BABE">
      <w:pPr>
        <w:pStyle w:val="66"/>
        <w:rPr>
          <w:color w:val="000000"/>
          <w:highlight w:val="none"/>
        </w:rPr>
      </w:pPr>
      <w:r>
        <w:rPr>
          <w:rFonts w:hint="eastAsia"/>
          <w:color w:val="000000"/>
          <w:highlight w:val="none"/>
          <w:lang w:val="en-US" w:eastAsia="zh-CN"/>
        </w:rPr>
        <w:t>协助建设单位完成海上光伏发电项目专项评估与报告编制，包括但不限于：通航安全影响论证（可委托具备水运工程或海洋工程咨询资质机构编制论证报告）、军事设施影响评估、海洋环境影响评价、海域使用论证等。</w:t>
      </w:r>
    </w:p>
    <w:p w14:paraId="471C46B8">
      <w:pPr>
        <w:pStyle w:val="66"/>
        <w:rPr>
          <w:color w:val="000000"/>
          <w:highlight w:val="none"/>
        </w:rPr>
      </w:pPr>
      <w:r>
        <w:rPr>
          <w:rFonts w:hint="eastAsia"/>
          <w:color w:val="000000"/>
          <w:highlight w:val="none"/>
          <w:lang w:val="en-US" w:eastAsia="zh-CN"/>
        </w:rPr>
        <w:t>协助建设单位合规手续办理，包括但不限于：海域使用权证、通航安全审核、环评批复、军事设施保护意见、水上水下活动许可、施工许可等。</w:t>
      </w:r>
      <w:r>
        <w:rPr>
          <w:highlight w:val="none"/>
        </w:rPr>
        <w:commentReference w:id="4"/>
      </w:r>
    </w:p>
    <w:p w14:paraId="688FACD5">
      <w:pPr>
        <w:pStyle w:val="51"/>
        <w:spacing w:before="120" w:after="120"/>
        <w:rPr>
          <w:color w:val="000000"/>
        </w:rPr>
      </w:pPr>
      <w:bookmarkStart w:id="167" w:name="_Toc31760"/>
      <w:r>
        <w:rPr>
          <w:rFonts w:hint="eastAsia"/>
          <w:color w:val="000000"/>
        </w:rPr>
        <w:t>工程建设准备阶段</w:t>
      </w:r>
      <w:bookmarkEnd w:id="167"/>
    </w:p>
    <w:p w14:paraId="336E2249">
      <w:pPr>
        <w:pStyle w:val="58"/>
        <w:spacing w:before="120" w:after="120"/>
        <w:rPr>
          <w:color w:val="000000"/>
        </w:rPr>
      </w:pPr>
      <w:r>
        <w:rPr>
          <w:rFonts w:hint="eastAsia"/>
          <w:color w:val="000000"/>
        </w:rPr>
        <w:t>一般规定</w:t>
      </w:r>
    </w:p>
    <w:p w14:paraId="3E9F96B5">
      <w:pPr>
        <w:pStyle w:val="66"/>
        <w:rPr>
          <w:color w:val="000000"/>
        </w:rPr>
      </w:pPr>
      <w:r>
        <w:rPr>
          <w:rFonts w:hint="eastAsia"/>
          <w:color w:val="000000"/>
        </w:rPr>
        <w:t>工程建设准备阶段主要分为</w:t>
      </w:r>
      <w:r>
        <w:rPr>
          <w:rFonts w:hint="eastAsia"/>
          <w:color w:val="000000"/>
          <w:lang w:val="en-US" w:eastAsia="zh-CN"/>
        </w:rPr>
        <w:t>勘察、设计、开工筹备</w:t>
      </w:r>
      <w:r>
        <w:rPr>
          <w:rFonts w:hint="eastAsia"/>
          <w:color w:val="000000"/>
        </w:rPr>
        <w:t>三阶段。</w:t>
      </w:r>
    </w:p>
    <w:p w14:paraId="15DD1D95">
      <w:pPr>
        <w:pStyle w:val="66"/>
        <w:rPr>
          <w:color w:val="000000"/>
        </w:rPr>
      </w:pPr>
      <w:r>
        <w:rPr>
          <w:rFonts w:hint="eastAsia"/>
          <w:color w:val="000000"/>
        </w:rPr>
        <w:t>受委托编制工程建设管理纲要，并在项目实施阶段根据需要进行修订。</w:t>
      </w:r>
    </w:p>
    <w:p w14:paraId="6EA1BB61">
      <w:pPr>
        <w:pStyle w:val="66"/>
        <w:rPr>
          <w:color w:val="000000"/>
        </w:rPr>
      </w:pPr>
      <w:r>
        <w:rPr>
          <w:rFonts w:hint="eastAsia"/>
          <w:color w:val="000000"/>
        </w:rPr>
        <w:t>组织编制、审核招标需求，组织或参与招标工作，配合建设单位签订合同。</w:t>
      </w:r>
    </w:p>
    <w:p w14:paraId="535BCA90">
      <w:pPr>
        <w:pStyle w:val="66"/>
        <w:rPr>
          <w:color w:val="000000"/>
        </w:rPr>
      </w:pPr>
      <w:r>
        <w:rPr>
          <w:rFonts w:hint="eastAsia"/>
          <w:color w:val="000000"/>
        </w:rPr>
        <w:t>协助办理建设用地规划许可证、规划放线、土地划拨、临时用地租用手续、建设用地批准书、建设工程规划许可证等相关行政许可手续。海上光伏需额外向海洋部门申办用海预审，获取海域使用权预审意见、海域使用权证书，涉及航道的还需取得海事部门航道影响批复。</w:t>
      </w:r>
    </w:p>
    <w:p w14:paraId="422C1BFF">
      <w:pPr>
        <w:pStyle w:val="66"/>
        <w:rPr>
          <w:color w:val="000000"/>
        </w:rPr>
      </w:pPr>
      <w:r>
        <w:rPr>
          <w:rFonts w:hint="eastAsia"/>
          <w:color w:val="000000"/>
        </w:rPr>
        <w:t>审核设计、施工、监理等参建单位项目策划文件。</w:t>
      </w:r>
    </w:p>
    <w:p w14:paraId="2214DE5D">
      <w:pPr>
        <w:pStyle w:val="58"/>
        <w:spacing w:before="120" w:after="120"/>
        <w:rPr>
          <w:rFonts w:hint="eastAsia" w:hAnsi="黑体" w:cs="黑体"/>
          <w:color w:val="000000"/>
          <w:lang w:val="en-US" w:eastAsia="zh-CN"/>
        </w:rPr>
      </w:pPr>
      <w:r>
        <w:rPr>
          <w:rFonts w:hint="eastAsia" w:hAnsi="黑体" w:cs="黑体"/>
          <w:color w:val="000000"/>
          <w:lang w:val="en-US" w:eastAsia="zh-CN"/>
        </w:rPr>
        <w:t>勘察阶段</w:t>
      </w:r>
      <w:r>
        <w:rPr>
          <w:rFonts w:hint="eastAsia" w:hAnsi="黑体" w:cs="黑体"/>
          <w:color w:val="000000"/>
        </w:rPr>
        <w:t>主要咨询工作</w:t>
      </w:r>
    </w:p>
    <w:p w14:paraId="15AD7B35">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勘察前期策划审查：编制/审核勘察任务书、勘察大纲，明确测绘、岩土、水文、光资源、专项勘探范围、布孔密度、试验指标、工期进度；审查勘察单位资质、人员、检定勘探设备；组织场址联合踏勘，梳理用地/用海、生态、通航约束条件。</w:t>
      </w:r>
    </w:p>
    <w:p w14:paraId="7A10FBD2">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地形测绘与光资源勘察审查：核查场区地形图、控制点布设、高程数据；复核全年辐照实测、阴影模拟、坡度坡向、遮挡分析原始观测资料，校核发电量测算基础数据源。</w:t>
      </w:r>
    </w:p>
    <w:p w14:paraId="3825BAD3">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岩土工程勘察审查：核查地层分层、承载力、压缩、抗拔参数；评价地下水、水土腐蚀性、地震效应；排查滑坡、岩溶、软土、不均匀沉降等不良地质，提出支架、升压站基础选型建议；核查原位测试、室内土工试验原始记录。</w:t>
      </w:r>
    </w:p>
    <w:p w14:paraId="22758A56">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水文与防洪勘察审查：收集历年水位、洪水、径流数据；复核塘体、河道、海域冲刷、淤积、潮汐、浪高资料，论证防洪、防倒灌、边坡防护条件。</w:t>
      </w:r>
    </w:p>
    <w:p w14:paraId="280E2280">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勘察过程管控：旁站关键勘探点位，核查取样、原位测试合规性；跟踪勘察进度，动态调整勘探方案；督促同步收集压覆矿、文物、管线、海底障碍物资料。</w:t>
      </w:r>
    </w:p>
    <w:p w14:paraId="22C2911C">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勘察成果内审：审查勘察报告附图、附表、结论建议，核对参数能否满足初设基础、支架、场平设计深度要求，出具勘察内审意见并督促闭环修改。</w:t>
      </w:r>
    </w:p>
    <w:p w14:paraId="2E7CCDD7">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常规荒漠戈壁光伏勘察：核查风沙侵蚀、盐渍土、冻胀勘探数据，收集区域大风积雪气象观测资料，评价场地固沙、排水地质条件。</w:t>
      </w:r>
    </w:p>
    <w:p w14:paraId="2169F03A">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山地光伏勘察：加密滑坡、冲沟、陡坡勘探点位，核查山体开挖边坡岩土参数，收集高差高差水位、岩石风化层资料，论证桩基适配性。</w:t>
      </w:r>
    </w:p>
    <w:p w14:paraId="4A70BBF6">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农光/牧光互补光伏勘察：查清塘底淤泥、浅层地下水分布，复核养殖区冲刷、防渗土层参数，划定耕作层保护勘探边界。</w:t>
      </w:r>
    </w:p>
    <w:p w14:paraId="460B6506">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屋顶、BIPV光伏勘察：复核建筑原结构承载力、屋面防水层、原有防雷基础资料，核查屋面排水、周边遮挡实测数据。</w:t>
      </w:r>
    </w:p>
    <w:p w14:paraId="40CFB9DF">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渔光互补光伏勘察：补充塘内水下岩土、水体腐蚀性勘探，收集汛期塘水位波动、堤岸稳定数据，评价浮体、高桩支架水下地质适配条件。</w:t>
      </w:r>
    </w:p>
    <w:p w14:paraId="77B63562">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海上光伏勘察：开展海底地形、浅层气、海流潮汐专项勘探；核查海底淤泥、礁石、管线分布；获取波浪、台风、海水腐蚀参数，论证浮台系泊、海缆敷设地质条件；同步收集海事、海洋生态勘察基础资料。</w:t>
      </w:r>
    </w:p>
    <w:p w14:paraId="6BD2E999">
      <w:pPr>
        <w:pStyle w:val="66"/>
        <w:outlineLvl w:val="9"/>
        <w:rPr>
          <w:rFonts w:hint="eastAsia" w:ascii="宋体" w:hAnsi="宋体" w:eastAsia="宋体" w:cs="宋体"/>
          <w:color w:val="000000"/>
          <w:lang w:val="en-US" w:eastAsia="zh-CN"/>
        </w:rPr>
      </w:pPr>
      <w:r>
        <w:rPr>
          <w:rFonts w:hint="eastAsia" w:ascii="宋体" w:hAnsi="宋体" w:eastAsia="宋体" w:cs="宋体"/>
          <w:color w:val="000000"/>
          <w:lang w:val="en-US" w:eastAsia="zh-CN"/>
        </w:rPr>
        <w:t>治沙光伏勘察：重点勘察松软流沙、不均匀沉积地层，收集区域风蚀、地下水埋深数据，评价柔性可调基础场地适配性。</w:t>
      </w:r>
    </w:p>
    <w:p w14:paraId="29B165D6">
      <w:pPr>
        <w:pStyle w:val="58"/>
        <w:spacing w:before="120" w:after="120"/>
        <w:rPr>
          <w:color w:val="000000"/>
        </w:rPr>
      </w:pPr>
      <w:r>
        <w:rPr>
          <w:rFonts w:hint="eastAsia"/>
          <w:color w:val="000000"/>
        </w:rPr>
        <w:t>初步设计阶段主要咨询工作</w:t>
      </w:r>
    </w:p>
    <w:p w14:paraId="6F022386">
      <w:pPr>
        <w:pStyle w:val="66"/>
        <w:rPr>
          <w:color w:val="000000"/>
        </w:rPr>
      </w:pPr>
      <w:r>
        <w:rPr>
          <w:rFonts w:hint="eastAsia"/>
          <w:color w:val="000000"/>
        </w:rPr>
        <w:t>根据可行性研究报告及批复意见、项目核准文件，组织编制勘察、设计招标文件及技术规范书，配合招标工作。</w:t>
      </w:r>
    </w:p>
    <w:p w14:paraId="48E7A9C2">
      <w:pPr>
        <w:pStyle w:val="66"/>
        <w:rPr>
          <w:color w:val="000000"/>
        </w:rPr>
      </w:pPr>
      <w:r>
        <w:rPr>
          <w:rFonts w:hint="eastAsia"/>
          <w:color w:val="000000"/>
        </w:rPr>
        <w:t>对站址、路径及专项评估报告等进行复核，重点复核太阳辐照量实测数据、地块地形地貌详勘图等前期资源与场地数据</w:t>
      </w:r>
      <w:r>
        <w:rPr>
          <w:rFonts w:hint="eastAsia"/>
          <w:color w:val="000000"/>
          <w:lang w:eastAsia="zh-CN"/>
        </w:rPr>
        <w:t>，</w:t>
      </w:r>
      <w:r>
        <w:rPr>
          <w:rFonts w:hint="eastAsia"/>
          <w:color w:val="000000"/>
        </w:rPr>
        <w:t>同步复核环境影响评价、水土保持方案等环保专题报告中的选址合理性与环保措施可行性。。</w:t>
      </w:r>
    </w:p>
    <w:p w14:paraId="6525E54B">
      <w:pPr>
        <w:pStyle w:val="66"/>
        <w:rPr>
          <w:color w:val="000000"/>
        </w:rPr>
      </w:pPr>
      <w:r>
        <w:rPr>
          <w:rFonts w:hint="eastAsia"/>
          <w:color w:val="000000"/>
        </w:rPr>
        <w:t>审查勘察方案，组织设计单位与相关方现场踏勘，审查勘察报告。</w:t>
      </w:r>
    </w:p>
    <w:p w14:paraId="33CA1D87">
      <w:pPr>
        <w:pStyle w:val="66"/>
        <w:rPr>
          <w:color w:val="000000"/>
        </w:rPr>
      </w:pPr>
      <w:r>
        <w:rPr>
          <w:rFonts w:hint="eastAsia"/>
          <w:color w:val="000000"/>
        </w:rPr>
        <w:t>根据建设单位下达的投资计划和里程碑进度计划，编制项目资金使用计划和项目</w:t>
      </w:r>
      <w:r>
        <w:rPr>
          <w:rFonts w:hint="eastAsia"/>
          <w:color w:val="000000"/>
          <w:lang w:val="en-US" w:eastAsia="zh-CN"/>
        </w:rPr>
        <w:t>二级</w:t>
      </w:r>
      <w:r>
        <w:rPr>
          <w:rFonts w:hint="eastAsia"/>
          <w:color w:val="000000"/>
        </w:rPr>
        <w:t>进度计划并经建设单位审批。</w:t>
      </w:r>
    </w:p>
    <w:p w14:paraId="48B4BAEA">
      <w:pPr>
        <w:pStyle w:val="66"/>
        <w:rPr>
          <w:color w:val="000000"/>
        </w:rPr>
      </w:pPr>
      <w:r>
        <w:rPr>
          <w:rFonts w:hint="eastAsia"/>
          <w:color w:val="000000"/>
        </w:rPr>
        <w:t>协助建设单位对光伏组件可能引起的二次辐射和光污染进行评估。</w:t>
      </w:r>
    </w:p>
    <w:p w14:paraId="61E4FB49">
      <w:pPr>
        <w:pStyle w:val="66"/>
        <w:rPr>
          <w:color w:val="000000"/>
        </w:rPr>
      </w:pPr>
      <w:r>
        <w:rPr>
          <w:rFonts w:hint="eastAsia"/>
          <w:color w:val="000000"/>
        </w:rPr>
        <w:t>初步设计开展前，对设计单位进行交底，明确工程建设管理要求。</w:t>
      </w:r>
    </w:p>
    <w:p w14:paraId="381B36C6">
      <w:pPr>
        <w:pStyle w:val="66"/>
        <w:rPr>
          <w:color w:val="000000"/>
        </w:rPr>
      </w:pPr>
      <w:r>
        <w:rPr>
          <w:rFonts w:hint="eastAsia"/>
          <w:color w:val="000000"/>
        </w:rPr>
        <w:t>组织审查初步设计计划大纲，督促设计单位按计划提交初步设计文件。</w:t>
      </w:r>
    </w:p>
    <w:p w14:paraId="1DDF46D0">
      <w:pPr>
        <w:pStyle w:val="66"/>
        <w:rPr>
          <w:color w:val="000000"/>
        </w:rPr>
      </w:pPr>
      <w:r>
        <w:rPr>
          <w:rFonts w:hint="eastAsia"/>
          <w:color w:val="000000"/>
        </w:rPr>
        <w:t>协助建设单位组织初步设计文件内审，重点审查以下要点：</w:t>
      </w:r>
    </w:p>
    <w:p w14:paraId="69411921">
      <w:pPr>
        <w:pStyle w:val="65"/>
        <w:numPr>
          <w:ilvl w:val="0"/>
          <w:numId w:val="13"/>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光伏方阵：核查组件选型、跟踪系统选型、方阵排布、阴影遮挡、发电量测算</w:t>
      </w:r>
      <w:r>
        <w:rPr>
          <w:rFonts w:hint="eastAsia" w:ascii="宋体" w:hAnsi="Times New Roman" w:eastAsia="宋体" w:cs="Times New Roman"/>
          <w:color w:val="000000"/>
          <w:lang w:eastAsia="zh-CN"/>
        </w:rPr>
        <w:t>；</w:t>
      </w:r>
    </w:p>
    <w:p w14:paraId="22BF05B7">
      <w:pPr>
        <w:pStyle w:val="65"/>
        <w:numPr>
          <w:ilvl w:val="0"/>
          <w:numId w:val="13"/>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 xml:space="preserve">电气系统：核查逆变器容量与组件串匹配性、集电线路截面、主接线、电能质量、二次调度通信系统； </w:t>
      </w:r>
    </w:p>
    <w:p w14:paraId="47C50A7A">
      <w:pPr>
        <w:pStyle w:val="65"/>
        <w:numPr>
          <w:ilvl w:val="0"/>
          <w:numId w:val="13"/>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 xml:space="preserve">储能系统（如有）：核查光储容量配比、充放电策略、储能消防、PCS 并网保护； </w:t>
      </w:r>
    </w:p>
    <w:p w14:paraId="6144AC16">
      <w:pPr>
        <w:pStyle w:val="65"/>
        <w:numPr>
          <w:ilvl w:val="0"/>
          <w:numId w:val="13"/>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 xml:space="preserve">土建结构安全：核查支架基础选型、抗风抗倾覆验算、升压站 / 储能建筑抗震防洪设计； </w:t>
      </w:r>
    </w:p>
    <w:p w14:paraId="5AC0BB62">
      <w:pPr>
        <w:pStyle w:val="65"/>
        <w:numPr>
          <w:ilvl w:val="0"/>
          <w:numId w:val="13"/>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 xml:space="preserve">消防与接地：核查升压站、储能舱防火分隔、灭火设施、全站防雷接地、直流侧浪涌保护； </w:t>
      </w:r>
    </w:p>
    <w:p w14:paraId="22DFA2CE">
      <w:pPr>
        <w:pStyle w:val="65"/>
        <w:numPr>
          <w:ilvl w:val="0"/>
          <w:numId w:val="13"/>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 xml:space="preserve">送出并网：核查接入系统方案、送出线路、涉网保护、低电压穿越配置； </w:t>
      </w:r>
    </w:p>
    <w:p w14:paraId="7847624C">
      <w:pPr>
        <w:pStyle w:val="65"/>
        <w:numPr>
          <w:ilvl w:val="0"/>
          <w:numId w:val="13"/>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 xml:space="preserve">概算及投资管控：核查工程量、设备造价、取费标准，落实可研限额设计要求； </w:t>
      </w:r>
    </w:p>
    <w:p w14:paraId="7FDB4C7D">
      <w:pPr>
        <w:pStyle w:val="65"/>
        <w:numPr>
          <w:ilvl w:val="0"/>
          <w:numId w:val="13"/>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土地、环保、水保：核查土地复合利用、复垦、光污染与水土流失防控方案；</w:t>
      </w:r>
    </w:p>
    <w:p w14:paraId="5D1833CA">
      <w:pPr>
        <w:pStyle w:val="65"/>
        <w:numPr>
          <w:ilvl w:val="0"/>
          <w:numId w:val="13"/>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常规荒漠戈壁光伏</w:t>
      </w:r>
      <w:r>
        <w:rPr>
          <w:rFonts w:hint="eastAsia" w:hAnsi="Times New Roman" w:eastAsia="宋体" w:cs="Times New Roman"/>
          <w:color w:val="000000"/>
          <w:lang w:eastAsia="zh-CN"/>
        </w:rPr>
        <w:t>：</w:t>
      </w:r>
      <w:r>
        <w:rPr>
          <w:rFonts w:hint="eastAsia" w:ascii="宋体" w:hAnsi="Times New Roman" w:eastAsia="宋体" w:cs="Times New Roman"/>
          <w:color w:val="000000"/>
        </w:rPr>
        <w:t>组件风沙防护涂层，支架防风沙磨损</w:t>
      </w:r>
      <w:r>
        <w:rPr>
          <w:rFonts w:hint="eastAsia" w:hAnsi="Times New Roman" w:eastAsia="宋体" w:cs="Times New Roman"/>
          <w:color w:val="000000"/>
          <w:lang w:eastAsia="zh-CN"/>
        </w:rPr>
        <w:t>，</w:t>
      </w:r>
      <w:r>
        <w:rPr>
          <w:rFonts w:hint="eastAsia" w:ascii="宋体" w:hAnsi="Times New Roman" w:eastAsia="宋体" w:cs="Times New Roman"/>
          <w:color w:val="000000"/>
        </w:rPr>
        <w:t>阵列间距考虑冬季积雪遮挡；地基抗风蚀、防盐渍化，场区防风固沙、雨水导流沟；开阔场地移动式消防设施布局；</w:t>
      </w:r>
    </w:p>
    <w:p w14:paraId="0EB5D3A9">
      <w:pPr>
        <w:pStyle w:val="65"/>
        <w:numPr>
          <w:ilvl w:val="0"/>
          <w:numId w:val="13"/>
        </w:numPr>
        <w:tabs>
          <w:tab w:val="clear" w:pos="851"/>
        </w:tabs>
        <w:rPr>
          <w:rFonts w:hint="eastAsia" w:ascii="宋体" w:hAnsi="Times New Roman" w:eastAsia="宋体" w:cs="Times New Roman"/>
          <w:color w:val="000000"/>
        </w:rPr>
      </w:pPr>
      <w:r>
        <w:rPr>
          <w:rFonts w:hint="eastAsia"/>
          <w:color w:val="000000"/>
        </w:rPr>
        <w:t>山地光伏：BIM地形坡度阴影模拟，支架倾角随地形自适应，避开滑坡冲沟；边坡支护、截洪沟、挡土墙，螺旋桩基础减少山体开挖；山地高差造成直流电压偏差校核，线缆防岩石磨损防护农光/牧光互补光伏：</w:t>
      </w:r>
    </w:p>
    <w:p w14:paraId="59BC2875">
      <w:pPr>
        <w:pStyle w:val="65"/>
        <w:numPr>
          <w:ilvl w:val="0"/>
          <w:numId w:val="13"/>
        </w:numPr>
        <w:tabs>
          <w:tab w:val="clear" w:pos="851"/>
        </w:tabs>
        <w:rPr>
          <w:rFonts w:hint="eastAsia" w:ascii="宋体" w:hAnsi="Times New Roman" w:eastAsia="宋体" w:cs="Times New Roman"/>
          <w:color w:val="000000"/>
        </w:rPr>
      </w:pPr>
      <w:r>
        <w:rPr>
          <w:rFonts w:hint="eastAsia"/>
          <w:color w:val="000000"/>
        </w:rPr>
        <w:t>防护农光/牧光互补光伏：支架最低离地高度，行列间距满足大型农机通行，阵列不可种植面积占比符合规定；基础、箱变平台集中布置，减少耕地占用；电缆浅埋不破坏耕作层；箱变、汇流箱抬高布置，避免灌溉水淹；农产配套：光照分区设计，保障下层作物最低辐照需求</w:t>
      </w:r>
      <w:r>
        <w:rPr>
          <w:rFonts w:hint="eastAsia" w:ascii="宋体" w:hAnsi="Times New Roman" w:eastAsia="宋体" w:cs="Times New Roman"/>
          <w:color w:val="000000"/>
          <w:lang w:eastAsia="zh-CN"/>
        </w:rPr>
        <w:t>。</w:t>
      </w:r>
    </w:p>
    <w:p w14:paraId="1FC8F4B8">
      <w:pPr>
        <w:pStyle w:val="65"/>
        <w:numPr>
          <w:ilvl w:val="0"/>
          <w:numId w:val="13"/>
        </w:numPr>
        <w:tabs>
          <w:tab w:val="clear" w:pos="851"/>
        </w:tabs>
        <w:rPr>
          <w:rFonts w:hint="eastAsia" w:ascii="宋体" w:hAnsi="Times New Roman" w:eastAsia="宋体" w:cs="Times New Roman"/>
          <w:color w:val="000000"/>
        </w:rPr>
      </w:pPr>
      <w:r>
        <w:rPr>
          <w:rFonts w:hint="eastAsia"/>
          <w:color w:val="000000"/>
        </w:rPr>
        <w:t>屋顶光伏：复核屋面承重荷载、屋面防水保护，支架压载式/锚固选型；避开采光天窗、通风口遮挡；屋面加固验算、屋面排水疏导</w:t>
      </w:r>
      <w:r>
        <w:rPr>
          <w:rFonts w:hint="eastAsia" w:ascii="宋体" w:hAnsi="Times New Roman" w:eastAsia="宋体" w:cs="Times New Roman"/>
          <w:color w:val="000000"/>
          <w:lang w:eastAsia="zh-CN"/>
        </w:rPr>
        <w:t>、</w:t>
      </w:r>
      <w:r>
        <w:rPr>
          <w:rFonts w:hint="eastAsia"/>
          <w:color w:val="000000"/>
        </w:rPr>
        <w:t>原有防水层</w:t>
      </w:r>
      <w:r>
        <w:rPr>
          <w:rFonts w:hint="eastAsia" w:ascii="宋体" w:hAnsi="Times New Roman" w:eastAsia="宋体" w:cs="Times New Roman"/>
          <w:color w:val="000000"/>
          <w:lang w:val="en-US" w:eastAsia="zh-CN"/>
        </w:rPr>
        <w:t>保护措施</w:t>
      </w:r>
      <w:r>
        <w:rPr>
          <w:rFonts w:hint="eastAsia"/>
          <w:color w:val="000000"/>
        </w:rPr>
        <w:t>；低压0.4kV就近并网，短路电流、防逆流保护；线缆穿防火套管；屋面组件与建筑门窗防火间距，屋面专用灭火装置；接地：建筑原有防雷系统共用等电位，屋面金属构件整体接地。</w:t>
      </w:r>
    </w:p>
    <w:p w14:paraId="48F17422">
      <w:pPr>
        <w:pStyle w:val="65"/>
        <w:numPr>
          <w:ilvl w:val="0"/>
          <w:numId w:val="13"/>
        </w:numPr>
        <w:tabs>
          <w:tab w:val="clear" w:pos="851"/>
        </w:tabs>
        <w:rPr>
          <w:rFonts w:hint="eastAsia" w:ascii="宋体" w:hAnsi="Times New Roman" w:eastAsia="宋体" w:cs="Times New Roman"/>
          <w:color w:val="000000"/>
        </w:rPr>
      </w:pPr>
      <w:r>
        <w:rPr>
          <w:rFonts w:hint="eastAsia"/>
          <w:color w:val="000000"/>
        </w:rPr>
        <w:t>BIPV光伏建筑一体化：组件兼具围护、采光功能，透光率匹配建筑采光需求；耐火、耐候建材级组件；幕墙/屋面结构一体化承重、防水密封构造；消防：光伏幕墙防火隔离带、封堵构造；幕墙金属龙骨连续防雷接地</w:t>
      </w:r>
    </w:p>
    <w:p w14:paraId="71E94679">
      <w:pPr>
        <w:pStyle w:val="65"/>
        <w:numPr>
          <w:ilvl w:val="0"/>
          <w:numId w:val="13"/>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sz w:val="21"/>
          <w:szCs w:val="20"/>
        </w:rPr>
        <w:t>渔光互补：选用耐水汽腐蚀组件</w:t>
      </w:r>
      <w:r>
        <w:rPr>
          <w:rFonts w:hint="eastAsia" w:ascii="宋体" w:hAnsi="Times New Roman" w:eastAsia="宋体" w:cs="Times New Roman"/>
          <w:color w:val="000000"/>
          <w:lang w:eastAsia="zh-CN"/>
        </w:rPr>
        <w:t>、</w:t>
      </w:r>
      <w:r>
        <w:rPr>
          <w:rFonts w:hint="eastAsia" w:ascii="宋体" w:hAnsi="Times New Roman" w:eastAsia="宋体" w:cs="Times New Roman"/>
          <w:color w:val="000000"/>
          <w:sz w:val="21"/>
          <w:szCs w:val="20"/>
        </w:rPr>
        <w:t>复核浮体/高桩支架浮力、抗冲刷性能，控制水体遮光率，预留渔业作业通道、增氧设备布设空间；设备防护等级，箱变抬高设防汛围堰，水下电缆做防渗防腐防护；配套养殖专用供电回路；水下桩基淤泥承载力、塘堤防渗抗冲刷；浮体、捕捞栈桥荷载满足作业要求；配置水面移动式消防设施；采用水体低电阻率降阻接地方案，金属构件等电位连接；核查渔业、防洪、环评批复符合性；控制水体光照、保障养殖溶氧，水质保护措施；</w:t>
      </w:r>
    </w:p>
    <w:p w14:paraId="4551332E">
      <w:pPr>
        <w:pStyle w:val="65"/>
        <w:numPr>
          <w:ilvl w:val="0"/>
          <w:numId w:val="13"/>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sz w:val="21"/>
          <w:szCs w:val="20"/>
        </w:rPr>
        <w:t>海上光伏：采用海洋耐盐雾、抗台风组件；校核浮台稳性、波浪潮汐荷载、多点柔性系泊系统，阵列避让航道并设置运维船舶通道。电气设备防护等级</w:t>
      </w:r>
      <w:r>
        <w:rPr>
          <w:rFonts w:hint="eastAsia" w:hAnsi="Times New Roman" w:eastAsia="宋体" w:cs="Times New Roman"/>
          <w:color w:val="000000"/>
          <w:sz w:val="21"/>
          <w:szCs w:val="20"/>
          <w:lang w:val="en-US" w:eastAsia="zh-CN"/>
        </w:rPr>
        <w:t>符合规定</w:t>
      </w:r>
      <w:r>
        <w:rPr>
          <w:rFonts w:hint="eastAsia" w:ascii="宋体" w:hAnsi="Times New Roman" w:eastAsia="宋体" w:cs="Times New Roman"/>
          <w:color w:val="000000"/>
          <w:sz w:val="21"/>
          <w:szCs w:val="20"/>
        </w:rPr>
        <w:t>，海缆满足抗拉伸、防锚损要求并规范埋深；抗台风、浪涌验算；校核锚索、锚块抗走锚性能</w:t>
      </w:r>
      <w:r>
        <w:rPr>
          <w:rFonts w:hint="eastAsia"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海缆登陆段设防浪防护</w:t>
      </w:r>
      <w:r>
        <w:rPr>
          <w:rFonts w:hint="eastAsia" w:hAnsi="Times New Roman" w:eastAsia="宋体" w:cs="Times New Roman"/>
          <w:color w:val="000000"/>
          <w:sz w:val="21"/>
          <w:szCs w:val="20"/>
          <w:lang w:eastAsia="zh-CN"/>
        </w:rPr>
        <w:t>；</w:t>
      </w:r>
      <w:r>
        <w:rPr>
          <w:rFonts w:hint="eastAsia" w:ascii="宋体" w:hAnsi="Times New Roman" w:eastAsia="宋体" w:cs="Times New Roman"/>
          <w:color w:val="000000"/>
          <w:sz w:val="21"/>
          <w:szCs w:val="20"/>
        </w:rPr>
        <w:t>配套海上灭火装置、救生筏与应急通道；采用牺牲阳极阴极防腐保护，浮台整体贯通防雷接地。核查海域使用、海洋环评、海事通航批复；配套警示航标、生态修复、台风避风运维方案</w:t>
      </w:r>
      <w:r>
        <w:rPr>
          <w:rFonts w:hint="eastAsia" w:hAnsi="Times New Roman" w:eastAsia="宋体" w:cs="Times New Roman"/>
          <w:color w:val="000000"/>
          <w:sz w:val="21"/>
          <w:szCs w:val="20"/>
          <w:lang w:eastAsia="zh-CN"/>
        </w:rPr>
        <w:t>。</w:t>
      </w:r>
    </w:p>
    <w:p w14:paraId="52515319">
      <w:pPr>
        <w:pStyle w:val="65"/>
        <w:numPr>
          <w:ilvl w:val="0"/>
          <w:numId w:val="13"/>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治沙光伏</w:t>
      </w:r>
      <w:r>
        <w:rPr>
          <w:rFonts w:hint="eastAsia" w:ascii="宋体" w:hAnsi="Times New Roman" w:eastAsia="宋体" w:cs="Times New Roman"/>
          <w:color w:val="000000"/>
          <w:lang w:eastAsia="zh-CN"/>
        </w:rPr>
        <w:t>：</w:t>
      </w:r>
      <w:r>
        <w:rPr>
          <w:rFonts w:hint="eastAsia"/>
          <w:color w:val="000000"/>
        </w:rPr>
        <w:t>地基不均匀沉降验算，柔性可调支架基础；防渗、生态修复配套；耐腐蚀组件、防粉尘积灰快速清洗设计</w:t>
      </w:r>
    </w:p>
    <w:p w14:paraId="72033870">
      <w:pPr>
        <w:pStyle w:val="66"/>
        <w:numPr>
          <w:ilvl w:val="4"/>
          <w:numId w:val="14"/>
        </w:numPr>
        <w:rPr>
          <w:color w:val="000000"/>
        </w:rPr>
      </w:pPr>
      <w:r>
        <w:rPr>
          <w:rFonts w:hint="eastAsia"/>
          <w:color w:val="000000"/>
        </w:rPr>
        <w:commentReference w:id="5"/>
      </w:r>
      <w:r>
        <w:rPr>
          <w:rFonts w:hint="eastAsia"/>
          <w:color w:val="000000"/>
        </w:rPr>
        <w:t>协助建设单位进行初步设计评审。</w:t>
      </w:r>
    </w:p>
    <w:p w14:paraId="083CDA77">
      <w:pPr>
        <w:pStyle w:val="66"/>
        <w:numPr>
          <w:ilvl w:val="4"/>
          <w:numId w:val="14"/>
        </w:numPr>
        <w:rPr>
          <w:color w:val="000000"/>
        </w:rPr>
      </w:pPr>
      <w:r>
        <w:rPr>
          <w:rFonts w:hint="eastAsia"/>
          <w:color w:val="000000"/>
        </w:rPr>
        <w:t>督促设计单位依据初步设计评审意见修改完善设计方案，并协助建设单位上报相关单位批复。</w:t>
      </w:r>
    </w:p>
    <w:p w14:paraId="3E9E811B">
      <w:pPr>
        <w:pStyle w:val="66"/>
        <w:numPr>
          <w:ilvl w:val="4"/>
          <w:numId w:val="14"/>
        </w:numPr>
        <w:rPr>
          <w:color w:val="000000"/>
        </w:rPr>
      </w:pPr>
      <w:r>
        <w:rPr>
          <w:rFonts w:hint="eastAsia"/>
          <w:color w:val="000000"/>
        </w:rPr>
        <w:t>工程初步设计批复后，组织召开设计联络会，协调设计单位和物资供货厂家完成提资对接。</w:t>
      </w:r>
    </w:p>
    <w:p w14:paraId="330D83D7">
      <w:pPr>
        <w:pStyle w:val="58"/>
        <w:numPr>
          <w:ilvl w:val="3"/>
          <w:numId w:val="14"/>
        </w:numPr>
        <w:spacing w:before="120" w:after="120"/>
        <w:rPr>
          <w:color w:val="000000"/>
        </w:rPr>
      </w:pPr>
      <w:r>
        <w:rPr>
          <w:rFonts w:hint="eastAsia"/>
          <w:color w:val="000000"/>
        </w:rPr>
        <w:t>施工图设计阶段主要咨询工作</w:t>
      </w:r>
    </w:p>
    <w:p w14:paraId="1B052C8F">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协助建设单位组织设计联络会，组织设计单位、设备供货厂家开展技术对接，梳理接口边界，协助洽谈、签订设备技术协议；</w:t>
      </w:r>
    </w:p>
    <w:p w14:paraId="2236064E">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协助建设单位组织审查施工图设计计划大纲、出图进度计划、图纸分区策划等文件，核查计划合理性、节点匹配性，形成审查记录，督促设计单位优化调整。</w:t>
      </w:r>
    </w:p>
    <w:p w14:paraId="12C7B57D">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督促设计单位按计划提交施工图设计及预算文件，并组织审查，重点审查以下要点：</w:t>
      </w:r>
    </w:p>
    <w:p w14:paraId="725C063C">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光伏方阵：核查组件固定节点详图、支架安装精度、跟踪系统驱动设备装配图纸、阵列定位放线尺寸、阴影遮挡优化细部构造、组件清洗运维检修通道详图；</w:t>
      </w:r>
    </w:p>
    <w:p w14:paraId="2B30EE1D">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电气系统：核查组件串接线排布、逆变器柜内接线详图、交直流线缆敷设及截面选型、集电电缆桥架/穿管做法、升压站主接线施工详图、电能质量治理装置安装图纸、二次及调度通信设备布线与端子接线图；</w:t>
      </w:r>
    </w:p>
    <w:p w14:paraId="2C95E6B5">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储能系统（如有）：核查储能舱设备布置详图、光储组串接线配比、PCS 设备安装节点、充放电回路管线布置、储能分区防火分隔构造、储能消防管路及喷头布置、并网保护装置接线详图；</w:t>
      </w:r>
    </w:p>
    <w:p w14:paraId="5815196E">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土建结构：核查支架基础配筋/螺旋桩施工详图、支架抗风抗倾覆连接节点、升压站及储能建筑基础、抗震构造、防洪排水沟槽、挡土墙、护坡施工图纸；</w:t>
      </w:r>
    </w:p>
    <w:p w14:paraId="0CEE550D">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消防与接地施工图审查：核查升压站、储能舱防火隔墙、防火封堵详图、各类灭火设备安装定位、全站接地网敷设走向、支架等电位连接节点、直流侧浪涌保护器安装接线图；</w:t>
      </w:r>
    </w:p>
    <w:p w14:paraId="70702BEA">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 xml:space="preserve"> 送出并网：核查送出线路杆塔、电缆敷设详图、接入间隔设备安装、涉网保护二次接线、低电压穿越装置接线、并网柜设备布置图纸；</w:t>
      </w:r>
    </w:p>
    <w:p w14:paraId="3850F897">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预算</w:t>
      </w:r>
      <w:r>
        <w:rPr>
          <w:rFonts w:hint="eastAsia" w:ascii="宋体" w:hAnsi="Times New Roman" w:eastAsia="宋体" w:cs="Times New Roman"/>
          <w:color w:val="000000"/>
        </w:rPr>
        <w:t>及工程量：核查施工图工程量清单、设备材料清册、分项工程预算、变更签证预留计量节点，对照可研限额指标校核造价明细；</w:t>
      </w:r>
    </w:p>
    <w:p w14:paraId="57C50FCE">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土地、环保、水保专项施工图审查：核查场区土地复垦施工详图、边坡水土保持防护节点、光污染遮挡防护构造、排水沟、植被恢复施工图纸；</w:t>
      </w:r>
    </w:p>
    <w:p w14:paraId="2F690A67">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常规荒漠戈壁光伏：组件风沙防护包覆节点、支架耐磨防腐详图、积雪疏导构造、地基抗盐渍化处理、场区防风固沙格栅、雨水导流沟施工、移动式消防设施基础预埋详图；</w:t>
      </w:r>
    </w:p>
    <w:p w14:paraId="135B68E9">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山地光伏：地形适配支架调节节点、滑坡冲沟防护构造、边坡支护、截洪沟、挡土墙详图、螺旋桩山体开孔施工做法、高差直流线缆缓冲防护、岩石段电缆耐磨套管详图；</w:t>
      </w:r>
    </w:p>
    <w:p w14:paraId="62176649">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农光/牧光互补：支架离地高度控制节点、农机通行净空详图、基础及箱变集中平台施工、耕作层下电缆浅埋防护、箱变防水抬高基座、灌溉区防水隔离构造、分层光照遮挡控制细部图纸；</w:t>
      </w:r>
    </w:p>
    <w:p w14:paraId="442F2BCF">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屋顶光伏：屋面荷载加固节点、防水层保护构造、压载/锚固支架安装详图、天窗通风口避让定位、屋面排水疏导、防火套管穿屋面封堵、屋面防火间距、屋面防雷与原有建筑接地连通节点；</w:t>
      </w:r>
    </w:p>
    <w:p w14:paraId="280FB067">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BIPV光伏建筑一体化：光伏幕墙/采光顶构件密封防水节点、透光组件安装固定详图、一体化龙骨承重构造、幕墙层间防火隔离封堵、金属龙骨贯通等电位接地详图；</w:t>
      </w:r>
    </w:p>
    <w:p w14:paraId="108A5EA2">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渔光互补光伏：耐水汽组件密封接线节点、浮体拼接及锚固详图、高桩支架水下防腐施工、渔业作业通道定位、增氧设备供电管线、箱变防汛围堰、水下电缆防渗防腐套管、养殖栈桥荷载基础、水面消防设施预埋、水体降阻接地网施工详图；</w:t>
      </w:r>
    </w:p>
    <w:p w14:paraId="06F82686">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海上光伏：海洋防腐组件密封节点、浮台拼接、多点柔性系泊锚固详图、航道避让定位、海上升压站防腐结构、海缆抗拉伸防护及埋深施工、登陆段防浪堤、海上消防及救生平台基础、浮台整体阴极保护接地、警示航标基座、台风应急收拢装置详图；</w:t>
      </w:r>
    </w:p>
    <w:p w14:paraId="0D93B7BB">
      <w:pPr>
        <w:pStyle w:val="65"/>
        <w:numPr>
          <w:ilvl w:val="0"/>
          <w:numId w:val="15"/>
        </w:numPr>
        <w:tabs>
          <w:tab w:val="clear" w:pos="851"/>
        </w:tabs>
        <w:ind w:firstLineChars="300"/>
        <w:outlineLvl w:val="9"/>
        <w:rPr>
          <w:rFonts w:hint="eastAsia" w:ascii="宋体" w:hAnsi="Times New Roman" w:eastAsia="宋体" w:cs="Times New Roman"/>
          <w:color w:val="000000"/>
        </w:rPr>
      </w:pPr>
      <w:r>
        <w:rPr>
          <w:rFonts w:hint="eastAsia" w:ascii="宋体" w:hAnsi="Times New Roman" w:eastAsia="宋体" w:cs="Times New Roman"/>
          <w:color w:val="000000"/>
        </w:rPr>
        <w:t>治沙光伏：柔性可调支架基础沉降适配节点、场区防渗层施工、生态修复植被种植槽、耐腐蚀组件防尘清洗管路预埋详图。</w:t>
      </w:r>
    </w:p>
    <w:p w14:paraId="62787648">
      <w:pPr>
        <w:pStyle w:val="66"/>
        <w:numPr>
          <w:ilvl w:val="4"/>
          <w:numId w:val="14"/>
        </w:numPr>
        <w:rPr>
          <w:color w:val="000000"/>
        </w:rPr>
      </w:pPr>
      <w:r>
        <w:rPr>
          <w:rFonts w:hint="eastAsia"/>
          <w:color w:val="000000"/>
        </w:rPr>
        <w:t>组织安全设施、职业卫生设施、防雷设施等设计审查，并组织建筑、消防、人防等工程设计审查申报。</w:t>
      </w:r>
    </w:p>
    <w:p w14:paraId="71DCD10D">
      <w:pPr>
        <w:pStyle w:val="66"/>
        <w:numPr>
          <w:ilvl w:val="4"/>
          <w:numId w:val="14"/>
        </w:numPr>
        <w:spacing w:line="240" w:lineRule="auto"/>
        <w:rPr>
          <w:rFonts w:hint="eastAsia"/>
          <w:color w:val="000000"/>
        </w:rPr>
      </w:pPr>
      <w:r>
        <w:rPr>
          <w:rFonts w:hint="eastAsia"/>
          <w:color w:val="000000"/>
        </w:rPr>
        <w:t>协助建设单位会同设计单位依据初设图纸，审核设计单位提交的核心物资清单，并结合项目进度计划安排采购计划。</w:t>
      </w:r>
    </w:p>
    <w:p w14:paraId="06DBBCB3">
      <w:pPr>
        <w:pStyle w:val="58"/>
        <w:numPr>
          <w:ilvl w:val="3"/>
          <w:numId w:val="14"/>
        </w:numPr>
        <w:spacing w:before="120" w:after="120"/>
        <w:rPr>
          <w:color w:val="000000"/>
        </w:rPr>
      </w:pPr>
      <w:r>
        <w:rPr>
          <w:rFonts w:hint="eastAsia"/>
          <w:color w:val="000000"/>
        </w:rPr>
        <w:t>开工准备阶段主要咨询工作</w:t>
      </w:r>
    </w:p>
    <w:p w14:paraId="02DC31D6">
      <w:pPr>
        <w:pStyle w:val="66"/>
        <w:numPr>
          <w:ilvl w:val="4"/>
          <w:numId w:val="14"/>
        </w:numPr>
        <w:rPr>
          <w:color w:val="000000"/>
        </w:rPr>
      </w:pPr>
      <w:r>
        <w:rPr>
          <w:rFonts w:hint="eastAsia"/>
          <w:color w:val="000000"/>
        </w:rPr>
        <w:t>协助建设单位进行施工标段划分，配合或组织施工招标工作。</w:t>
      </w:r>
    </w:p>
    <w:p w14:paraId="304A48EB">
      <w:pPr>
        <w:pStyle w:val="66"/>
        <w:numPr>
          <w:ilvl w:val="4"/>
          <w:numId w:val="14"/>
        </w:numPr>
        <w:rPr>
          <w:color w:val="000000"/>
        </w:rPr>
      </w:pPr>
      <w:r>
        <w:rPr>
          <w:rFonts w:hint="eastAsia"/>
          <w:color w:val="000000"/>
        </w:rPr>
        <w:t>制定工程合同管理相关制度，明确合同管理工作内容、流程和岗位职责。</w:t>
      </w:r>
    </w:p>
    <w:p w14:paraId="3E87721E">
      <w:pPr>
        <w:pStyle w:val="66"/>
        <w:numPr>
          <w:ilvl w:val="4"/>
          <w:numId w:val="14"/>
        </w:numPr>
        <w:rPr>
          <w:color w:val="000000"/>
        </w:rPr>
      </w:pPr>
      <w:r>
        <w:rPr>
          <w:rFonts w:hint="eastAsia"/>
          <w:color w:val="000000"/>
        </w:rPr>
        <w:t>协助建设单位完成合同文本的起草、评审和订立工作，建立项目合同管理台账。</w:t>
      </w:r>
    </w:p>
    <w:p w14:paraId="6BBBAAFB">
      <w:pPr>
        <w:pStyle w:val="66"/>
        <w:numPr>
          <w:ilvl w:val="4"/>
          <w:numId w:val="14"/>
        </w:numPr>
        <w:rPr>
          <w:color w:val="000000"/>
        </w:rPr>
      </w:pPr>
      <w:r>
        <w:rPr>
          <w:rFonts w:hint="eastAsia"/>
          <w:color w:val="000000"/>
        </w:rPr>
        <w:t>协助建设单位办理工程质量监督注册手续</w:t>
      </w:r>
      <w:r>
        <w:rPr>
          <w:rFonts w:hint="eastAsia"/>
          <w:color w:val="000000"/>
          <w:lang w:val="en-US" w:eastAsia="zh-CN"/>
        </w:rPr>
        <w:t>及电力安全监管平台备案手续</w:t>
      </w:r>
      <w:r>
        <w:rPr>
          <w:rFonts w:hint="eastAsia"/>
          <w:color w:val="000000"/>
        </w:rPr>
        <w:t>。</w:t>
      </w:r>
    </w:p>
    <w:p w14:paraId="33450E75">
      <w:pPr>
        <w:pStyle w:val="66"/>
        <w:numPr>
          <w:ilvl w:val="4"/>
          <w:numId w:val="14"/>
        </w:numPr>
        <w:rPr>
          <w:color w:val="000000"/>
        </w:rPr>
      </w:pPr>
      <w:r>
        <w:rPr>
          <w:rFonts w:hint="eastAsia"/>
          <w:color w:val="000000"/>
        </w:rPr>
        <w:t>协助建设单位组织办理施工许可证。</w:t>
      </w:r>
    </w:p>
    <w:p w14:paraId="69C8F0EA">
      <w:pPr>
        <w:pStyle w:val="66"/>
        <w:numPr>
          <w:ilvl w:val="4"/>
          <w:numId w:val="14"/>
        </w:numPr>
        <w:rPr>
          <w:color w:val="000000"/>
        </w:rPr>
      </w:pPr>
      <w:r>
        <w:rPr>
          <w:rFonts w:hint="eastAsia"/>
          <w:color w:val="000000"/>
        </w:rPr>
        <w:t>参与施工图会审，协助建设单位组织设计交底和图纸会检</w:t>
      </w:r>
      <w:r>
        <w:rPr>
          <w:rFonts w:hint="eastAsia"/>
          <w:color w:val="000000"/>
          <w:lang w:eastAsia="zh-CN"/>
        </w:rPr>
        <w:t>，</w:t>
      </w:r>
      <w:r>
        <w:rPr>
          <w:rFonts w:hint="eastAsia"/>
          <w:color w:val="000000"/>
          <w:lang w:val="en-US" w:eastAsia="zh-CN"/>
        </w:rPr>
        <w:t>整理会审记录并跟踪图纸整改闭环</w:t>
      </w:r>
      <w:r>
        <w:rPr>
          <w:rFonts w:hint="eastAsia"/>
          <w:color w:val="000000"/>
        </w:rPr>
        <w:t>。</w:t>
      </w:r>
    </w:p>
    <w:p w14:paraId="4BA718B8">
      <w:pPr>
        <w:pStyle w:val="66"/>
        <w:numPr>
          <w:ilvl w:val="4"/>
          <w:numId w:val="14"/>
        </w:numPr>
        <w:rPr>
          <w:color w:val="000000"/>
        </w:rPr>
      </w:pPr>
      <w:r>
        <w:rPr>
          <w:rFonts w:hint="eastAsia"/>
          <w:color w:val="000000"/>
        </w:rPr>
        <w:t>组织编制安全、质量管理等策划文件，</w:t>
      </w:r>
      <w:r>
        <w:rPr>
          <w:rFonts w:hint="eastAsia"/>
          <w:color w:val="000000"/>
          <w:lang w:val="en-US" w:eastAsia="zh-CN"/>
        </w:rPr>
        <w:t>审核施工单位的</w:t>
      </w:r>
      <w:r>
        <w:rPr>
          <w:rFonts w:hint="eastAsia"/>
          <w:color w:val="000000"/>
        </w:rPr>
        <w:t>安全、质量等管理体系。</w:t>
      </w:r>
    </w:p>
    <w:p w14:paraId="60CD0D0E">
      <w:pPr>
        <w:pStyle w:val="66"/>
        <w:numPr>
          <w:ilvl w:val="4"/>
          <w:numId w:val="14"/>
        </w:numPr>
        <w:rPr>
          <w:color w:val="000000"/>
        </w:rPr>
      </w:pPr>
      <w:r>
        <w:rPr>
          <w:rFonts w:hint="eastAsia"/>
          <w:color w:val="000000"/>
        </w:rPr>
        <w:t>协助建设单位召开第一次工地会议。</w:t>
      </w:r>
    </w:p>
    <w:p w14:paraId="43D0D249">
      <w:pPr>
        <w:pStyle w:val="66"/>
        <w:numPr>
          <w:ilvl w:val="4"/>
          <w:numId w:val="14"/>
        </w:numPr>
        <w:rPr>
          <w:color w:val="000000"/>
        </w:rPr>
      </w:pPr>
      <w:r>
        <w:rPr>
          <w:rFonts w:hint="eastAsia"/>
          <w:color w:val="000000"/>
        </w:rPr>
        <w:t>协助建设单位组建项目安全生产委员会</w:t>
      </w:r>
      <w:r>
        <w:rPr>
          <w:rFonts w:hint="eastAsia"/>
          <w:color w:val="000000"/>
          <w:lang w:val="en-US" w:eastAsia="zh-CN"/>
        </w:rPr>
        <w:t>或安全生产领导小组</w:t>
      </w:r>
      <w:r>
        <w:rPr>
          <w:rFonts w:hint="eastAsia"/>
          <w:color w:val="000000"/>
        </w:rPr>
        <w:t>。</w:t>
      </w:r>
    </w:p>
    <w:p w14:paraId="60096383">
      <w:pPr>
        <w:pStyle w:val="66"/>
        <w:numPr>
          <w:ilvl w:val="4"/>
          <w:numId w:val="14"/>
        </w:numPr>
        <w:rPr>
          <w:color w:val="000000"/>
        </w:rPr>
      </w:pPr>
      <w:r>
        <w:rPr>
          <w:rFonts w:hint="eastAsia"/>
          <w:color w:val="000000"/>
          <w:lang w:val="en-US" w:eastAsia="zh-CN"/>
        </w:rPr>
        <w:t>协助</w:t>
      </w:r>
      <w:r>
        <w:rPr>
          <w:rFonts w:hint="eastAsia"/>
          <w:color w:val="000000"/>
        </w:rPr>
        <w:t>建设单位组织开展施工总平面布置策划，审</w:t>
      </w:r>
      <w:r>
        <w:rPr>
          <w:rFonts w:hint="eastAsia"/>
          <w:color w:val="000000"/>
          <w:lang w:val="en-US" w:eastAsia="zh-CN"/>
        </w:rPr>
        <w:t>核</w:t>
      </w:r>
      <w:r>
        <w:rPr>
          <w:rFonts w:hint="eastAsia"/>
          <w:color w:val="000000"/>
        </w:rPr>
        <w:t>临时设施与安全文明设施布置策划方案。</w:t>
      </w:r>
    </w:p>
    <w:p w14:paraId="6B011F4A">
      <w:pPr>
        <w:pStyle w:val="66"/>
        <w:numPr>
          <w:ilvl w:val="4"/>
          <w:numId w:val="14"/>
        </w:numPr>
        <w:rPr>
          <w:color w:val="000000"/>
        </w:rPr>
      </w:pPr>
      <w:r>
        <w:rPr>
          <w:rFonts w:hint="eastAsia"/>
          <w:color w:val="000000"/>
          <w:lang w:val="en-US" w:eastAsia="zh-CN"/>
        </w:rPr>
        <w:t>协助</w:t>
      </w:r>
      <w:r>
        <w:rPr>
          <w:rFonts w:hint="eastAsia"/>
          <w:color w:val="000000"/>
        </w:rPr>
        <w:t>建设单位组织开展通水、通电、通路、通气、通信和场地平整等验收工作。</w:t>
      </w:r>
    </w:p>
    <w:p w14:paraId="6D636A5D">
      <w:pPr>
        <w:pStyle w:val="66"/>
        <w:numPr>
          <w:ilvl w:val="4"/>
          <w:numId w:val="14"/>
        </w:numPr>
        <w:rPr>
          <w:color w:val="000000"/>
        </w:rPr>
      </w:pPr>
      <w:r>
        <w:rPr>
          <w:rFonts w:hint="eastAsia"/>
          <w:color w:val="000000"/>
        </w:rPr>
        <w:t>及时向电网企业提交并网申请，取得电网企业并网意见后方可开工建设。</w:t>
      </w:r>
    </w:p>
    <w:p w14:paraId="4AB434F8">
      <w:pPr>
        <w:pStyle w:val="66"/>
        <w:numPr>
          <w:ilvl w:val="4"/>
          <w:numId w:val="14"/>
        </w:numPr>
        <w:rPr>
          <w:color w:val="000000"/>
        </w:rPr>
      </w:pPr>
      <w:r>
        <w:rPr>
          <w:rFonts w:hint="eastAsia"/>
          <w:color w:val="000000"/>
        </w:rPr>
        <w:t>复核工程开工条件，协助开展征地</w:t>
      </w:r>
      <w:r>
        <w:rPr>
          <w:rFonts w:hint="eastAsia"/>
          <w:color w:val="000000"/>
          <w:lang w:val="en-US" w:eastAsia="zh-CN"/>
        </w:rPr>
        <w:t>及</w:t>
      </w:r>
      <w:r>
        <w:rPr>
          <w:rFonts w:hint="eastAsia"/>
          <w:color w:val="000000"/>
        </w:rPr>
        <w:t>青</w:t>
      </w:r>
      <w:r>
        <w:rPr>
          <w:rFonts w:hint="eastAsia"/>
          <w:color w:val="000000"/>
          <w:lang w:val="en-US" w:eastAsia="zh-CN"/>
        </w:rPr>
        <w:t>苗补偿</w:t>
      </w:r>
      <w:r>
        <w:rPr>
          <w:rFonts w:hint="eastAsia"/>
          <w:color w:val="000000"/>
        </w:rPr>
        <w:t>签订工作</w:t>
      </w:r>
    </w:p>
    <w:p w14:paraId="6D1A3ED0">
      <w:pPr>
        <w:pStyle w:val="66"/>
        <w:numPr>
          <w:ilvl w:val="4"/>
          <w:numId w:val="14"/>
        </w:numPr>
        <w:rPr>
          <w:color w:val="000000"/>
        </w:rPr>
      </w:pPr>
      <w:r>
        <w:rPr>
          <w:rFonts w:hint="eastAsia"/>
          <w:color w:val="000000"/>
        </w:rPr>
        <w:t>协助建设单位审核停电计划，按程序报送停电方案</w:t>
      </w:r>
    </w:p>
    <w:p w14:paraId="58FF03EC">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地面集中式光伏</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复核土地合规性，协助土地复垦方案报批；审查场平、大件运输及设备吊装场地方案；编制大风、积雪、沙尘季节设备防护及停工预案；核查基础施工设备进场及地基承载力复检方案；审查设备分区堆场防潮、防风围挡措施；协调送出线路塔基征地、跨线施工许可。</w:t>
      </w:r>
    </w:p>
    <w:p w14:paraId="122D47CB">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山地光伏</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复核滑坡、冲沟勘察资料，审查边坡支护、截洪沟施工方案；审查山区施工道路、组件转运专项方案；审核地形自适应可调支架施工管控措施；核查表土剥离、山体开挖水土保持管控措施；编制雨季山洪、滑坡应急撤离方案；审查岩石段电缆耐磨、高差缓冲敷设措施。</w:t>
      </w:r>
    </w:p>
    <w:p w14:paraId="48635101">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农光、牧光互补光伏要点</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协助办理设施农业备案，复核耕作层保护方案；核查支架净空、阵列间距满足农机通行要求；审查箱变、汇流箱抬高基座防淹施工方案；审核耕作层下电缆浅埋防护措施；复核下层作物分层光照控制方案；核对土地复垦、农业轮作实施计划。</w:t>
      </w:r>
    </w:p>
    <w:p w14:paraId="14FBBBC7">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渔光互补光伏</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复核塘堤承载力、水位变化，审查塘体防渗加固方案；审查浮体、高桩、水下桩基防腐及锚固施工方案；核查渔业作业通道、水体遮光率控制措施；落实箱变防汛围堰、水下电缆防渗防腐措施；核查水上移动式消防设施布设条件；审核水体低阻降阻接地施工方案。</w:t>
      </w:r>
    </w:p>
    <w:p w14:paraId="3FC95011">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屋顶分布式光伏</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复核屋面结构承载力及加固方案；审查支架锚固/压载节点防水保护措施；核对天窗、通风设施阵列避让布置；落实屋面防火套管、组件防火间距措施；审核光伏系统与建筑原有防雷等电位连通方案；确认低压就近并网线路敷设条件。</w:t>
      </w:r>
    </w:p>
    <w:p w14:paraId="5E21EC37">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BIPV 光伏建筑一体化</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核查建材级组件耐候、耐火检测资料；审查光伏幕墙 / 屋面密封防水节点施工方案；复核一体化承重龙骨结构验算及吊装方案；</w:t>
      </w:r>
      <w:r>
        <w:rPr>
          <w:rFonts w:hint="eastAsia" w:ascii="宋体" w:hAnsi="Times New Roman" w:eastAsia="宋体" w:cs="Times New Roman"/>
          <w:color w:val="000000"/>
          <w:lang w:val="en-US" w:eastAsia="zh-CN"/>
        </w:rPr>
        <w:t>落实</w:t>
      </w:r>
      <w:r>
        <w:rPr>
          <w:rFonts w:hint="eastAsia" w:ascii="宋体" w:hAnsi="Times New Roman" w:eastAsia="宋体" w:cs="Times New Roman"/>
          <w:color w:val="000000"/>
        </w:rPr>
        <w:t>幕墙层间防火隔离、封堵构造措施；审核金属龙骨贯通连续接地施工方案；统筹光伏、幕墙、土建、机电交叉施工时序。</w:t>
      </w:r>
    </w:p>
    <w:p w14:paraId="5222640F">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治沙光伏</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审查柔性可调支架基础，控制不均匀沉降；核查场区防风固沙、组件防尘布置方案；审核防渗层、植被修复种植槽施工前置条件；确认设备、支架风沙防腐涂层进场验收标准。</w:t>
      </w:r>
    </w:p>
    <w:p w14:paraId="47A146D4">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海上光伏</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结合气象、水文、施工船舶条件编制防浪避风方案，落实避风锚地；协助建立海上施工救生制度，制定作业人员安全培训及演练计划。协助完成海域使用、海洋环评、海事、海缆路由等手续办理；审查浮台拼装、多点柔性系泊、抗走锚施工方案；落实组件盐雾防腐、海缆抗拉伸、登陆段防浪措施；核查海上救生、应急通道、航标、水上消防配置条件；编制台风季浮台收拢、人员撤离应急预案；审核浮台阴极防腐、整体贯通防雷接地方案；复核航道、渔业避让布局，完成海事开工报备。</w:t>
      </w:r>
    </w:p>
    <w:p w14:paraId="6E91C412">
      <w:pPr>
        <w:pStyle w:val="51"/>
        <w:numPr>
          <w:ilvl w:val="2"/>
          <w:numId w:val="14"/>
        </w:numPr>
        <w:spacing w:before="120" w:after="120"/>
        <w:rPr>
          <w:color w:val="000000"/>
        </w:rPr>
      </w:pPr>
      <w:bookmarkStart w:id="168" w:name="_Toc28883"/>
      <w:r>
        <w:rPr>
          <w:rFonts w:hint="eastAsia"/>
          <w:color w:val="000000"/>
        </w:rPr>
        <w:t>工程建设实施阶段</w:t>
      </w:r>
      <w:bookmarkEnd w:id="168"/>
    </w:p>
    <w:p w14:paraId="296164C8">
      <w:pPr>
        <w:pStyle w:val="58"/>
        <w:numPr>
          <w:ilvl w:val="3"/>
          <w:numId w:val="14"/>
        </w:numPr>
        <w:spacing w:before="120" w:after="120"/>
        <w:rPr>
          <w:color w:val="000000"/>
        </w:rPr>
      </w:pPr>
      <w:r>
        <w:rPr>
          <w:rFonts w:hint="eastAsia"/>
          <w:color w:val="000000"/>
        </w:rPr>
        <w:t>一般规定</w:t>
      </w:r>
    </w:p>
    <w:p w14:paraId="553ED06D">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工程建设实施阶段项目管理主要包括质量管理</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职业健康安全管理</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进度管理</w:t>
      </w:r>
      <w:r>
        <w:rPr>
          <w:rFonts w:hint="eastAsia" w:ascii="宋体" w:hAnsi="Times New Roman" w:eastAsia="宋体" w:cs="Times New Roman"/>
          <w:color w:val="000000"/>
          <w:lang w:eastAsia="zh-CN"/>
        </w:rPr>
        <w:t>、</w:t>
      </w:r>
      <w:r>
        <w:rPr>
          <w:rFonts w:hint="eastAsia" w:ascii="宋体" w:hAnsi="Times New Roman" w:eastAsia="宋体" w:cs="Times New Roman"/>
          <w:color w:val="000000"/>
          <w:lang w:val="en-US" w:eastAsia="zh-CN"/>
        </w:rPr>
        <w:t>合同管理、</w:t>
      </w:r>
      <w:r>
        <w:rPr>
          <w:rFonts w:hint="eastAsia" w:ascii="宋体" w:hAnsi="Times New Roman" w:eastAsia="宋体" w:cs="Times New Roman"/>
          <w:color w:val="000000"/>
        </w:rPr>
        <w:t>造价管理</w:t>
      </w:r>
      <w:r>
        <w:rPr>
          <w:rFonts w:hint="eastAsia" w:ascii="宋体" w:hAnsi="Times New Roman" w:eastAsia="宋体" w:cs="Times New Roman"/>
          <w:color w:val="000000"/>
          <w:lang w:eastAsia="zh-CN"/>
        </w:rPr>
        <w:t>、</w:t>
      </w:r>
      <w:r>
        <w:rPr>
          <w:rFonts w:hint="eastAsia" w:ascii="宋体" w:hAnsi="Times New Roman" w:eastAsia="宋体" w:cs="Times New Roman"/>
          <w:color w:val="000000"/>
          <w:lang w:val="en-US" w:eastAsia="zh-CN"/>
        </w:rPr>
        <w:t>设计管理、</w:t>
      </w:r>
      <w:r>
        <w:rPr>
          <w:rFonts w:hint="eastAsia" w:ascii="宋体" w:hAnsi="Times New Roman" w:eastAsia="宋体" w:cs="Times New Roman"/>
          <w:color w:val="000000"/>
        </w:rPr>
        <w:t>物资管理</w:t>
      </w:r>
      <w:r>
        <w:rPr>
          <w:rFonts w:hint="eastAsia" w:ascii="宋体" w:hAnsi="Times New Roman" w:eastAsia="宋体" w:cs="Times New Roman"/>
          <w:color w:val="000000"/>
          <w:lang w:eastAsia="zh-CN"/>
        </w:rPr>
        <w:t>、</w:t>
      </w:r>
      <w:r>
        <w:rPr>
          <w:rFonts w:hint="eastAsia" w:ascii="宋体" w:hAnsi="Times New Roman" w:eastAsia="宋体" w:cs="Times New Roman"/>
          <w:color w:val="000000"/>
          <w:lang w:val="en-US" w:eastAsia="zh-CN"/>
        </w:rPr>
        <w:t>环境保护管理、</w:t>
      </w:r>
      <w:r>
        <w:rPr>
          <w:rFonts w:hint="eastAsia" w:ascii="宋体" w:hAnsi="Times New Roman" w:eastAsia="宋体" w:cs="Times New Roman"/>
          <w:color w:val="000000"/>
        </w:rPr>
        <w:t>档案信息管理</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启动验收管理</w:t>
      </w:r>
      <w:r>
        <w:rPr>
          <w:rFonts w:hint="eastAsia" w:ascii="宋体" w:hAnsi="Times New Roman" w:eastAsia="宋体" w:cs="Times New Roman"/>
          <w:color w:val="000000"/>
          <w:lang w:eastAsia="zh-CN"/>
        </w:rPr>
        <w:t>、</w:t>
      </w:r>
      <w:r>
        <w:rPr>
          <w:rFonts w:hint="eastAsia" w:ascii="宋体" w:hAnsi="Times New Roman" w:eastAsia="宋体" w:cs="Times New Roman"/>
          <w:color w:val="000000"/>
          <w:lang w:val="en-US" w:eastAsia="zh-CN"/>
        </w:rPr>
        <w:t>质量保修、</w:t>
      </w:r>
      <w:r>
        <w:rPr>
          <w:rFonts w:hint="eastAsia" w:ascii="宋体" w:hAnsi="Times New Roman" w:eastAsia="宋体" w:cs="Times New Roman"/>
          <w:color w:val="000000"/>
        </w:rPr>
        <w:t>竣工结算、决算</w:t>
      </w:r>
      <w:r>
        <w:rPr>
          <w:rFonts w:hint="eastAsia" w:ascii="宋体" w:hAnsi="Times New Roman" w:eastAsia="宋体" w:cs="Times New Roman"/>
          <w:color w:val="000000"/>
          <w:lang w:eastAsia="zh-CN"/>
        </w:rPr>
        <w:t>、</w:t>
      </w:r>
      <w:r>
        <w:rPr>
          <w:rFonts w:hint="eastAsia" w:ascii="宋体" w:hAnsi="Times New Roman" w:eastAsia="宋体" w:cs="Times New Roman"/>
          <w:color w:val="000000"/>
          <w:lang w:val="en-US" w:eastAsia="zh-CN"/>
        </w:rPr>
        <w:t>竣工验收、工程达标投产及工程质量提升、工程总结评价。</w:t>
      </w:r>
    </w:p>
    <w:p w14:paraId="7C65729B">
      <w:pPr>
        <w:pStyle w:val="66"/>
        <w:numPr>
          <w:ilvl w:val="4"/>
          <w:numId w:val="14"/>
        </w:numPr>
        <w:rPr>
          <w:color w:val="000000"/>
        </w:rPr>
      </w:pPr>
      <w:r>
        <w:rPr>
          <w:rFonts w:hint="eastAsia"/>
          <w:color w:val="000000"/>
        </w:rPr>
        <w:t>监督并管控工程质量、职业健康安全、进度、造价等管理体系运转，对工程进行全过程管理。</w:t>
      </w:r>
    </w:p>
    <w:p w14:paraId="19B76715">
      <w:pPr>
        <w:pStyle w:val="66"/>
        <w:numPr>
          <w:ilvl w:val="4"/>
          <w:numId w:val="14"/>
        </w:numPr>
        <w:rPr>
          <w:color w:val="000000"/>
        </w:rPr>
      </w:pPr>
      <w:r>
        <w:rPr>
          <w:rFonts w:hint="eastAsia"/>
          <w:color w:val="000000"/>
        </w:rPr>
        <w:t>审核工程设计、监理、施工单位项目管理关键人员资格及配置到岗情况。</w:t>
      </w:r>
    </w:p>
    <w:p w14:paraId="2D91B9D4">
      <w:pPr>
        <w:pStyle w:val="58"/>
        <w:numPr>
          <w:ilvl w:val="3"/>
          <w:numId w:val="14"/>
        </w:numPr>
        <w:spacing w:before="120" w:after="120"/>
        <w:rPr>
          <w:color w:val="000000"/>
        </w:rPr>
      </w:pPr>
      <w:r>
        <w:rPr>
          <w:rFonts w:hint="eastAsia"/>
          <w:color w:val="000000"/>
        </w:rPr>
        <w:t>质量管理主要咨询工作</w:t>
      </w:r>
    </w:p>
    <w:p w14:paraId="135F652F">
      <w:pPr>
        <w:pStyle w:val="66"/>
        <w:numPr>
          <w:ilvl w:val="4"/>
          <w:numId w:val="14"/>
        </w:numPr>
        <w:rPr>
          <w:rFonts w:hint="eastAsia"/>
          <w:color w:val="000000"/>
        </w:rPr>
      </w:pPr>
      <w:r>
        <w:rPr>
          <w:rFonts w:hint="eastAsia"/>
          <w:color w:val="000000"/>
        </w:rPr>
        <w:t>开展项目全过程质量管理策划，结合项目场址环境、光伏工程类型编制质量管控总方案，明确分阶段管控目标、管控节点、检验频次与验收标准，形成可落地质量管理实施细则。</w:t>
      </w:r>
    </w:p>
    <w:p w14:paraId="54DFD2DB">
      <w:pPr>
        <w:pStyle w:val="66"/>
        <w:numPr>
          <w:ilvl w:val="4"/>
          <w:numId w:val="14"/>
        </w:numPr>
        <w:rPr>
          <w:rFonts w:hint="eastAsia"/>
          <w:color w:val="000000"/>
        </w:rPr>
      </w:pPr>
      <w:r>
        <w:rPr>
          <w:rFonts w:hint="eastAsia"/>
          <w:color w:val="000000"/>
        </w:rPr>
        <w:t>推动落实项目质量管理制度体系；定期开展日常巡查、关键工序专项检查、隐蔽工程复核检查，按月组织质量例会，梳理质量缺陷台账，明确整改责任、时限，跟踪复查直至闭环销项。</w:t>
      </w:r>
    </w:p>
    <w:p w14:paraId="04DD8B7C">
      <w:pPr>
        <w:pStyle w:val="66"/>
        <w:numPr>
          <w:ilvl w:val="4"/>
          <w:numId w:val="14"/>
        </w:numPr>
        <w:rPr>
          <w:rFonts w:hint="eastAsia"/>
          <w:color w:val="000000"/>
        </w:rPr>
      </w:pPr>
      <w:r>
        <w:rPr>
          <w:rFonts w:hint="eastAsia"/>
          <w:color w:val="000000"/>
        </w:rPr>
        <w:t>协助建设单位监督监理单位质量管控履职情况，核查监理规划、专项监理细则、旁站记录、巡检日志、验收资料，对监理管控缺失、验收不严等问题提出整改评价意见。</w:t>
      </w:r>
    </w:p>
    <w:p w14:paraId="3D5FECD7">
      <w:pPr>
        <w:pStyle w:val="66"/>
        <w:numPr>
          <w:ilvl w:val="4"/>
          <w:numId w:val="14"/>
        </w:numPr>
        <w:rPr>
          <w:rFonts w:hint="eastAsia"/>
          <w:color w:val="000000"/>
        </w:rPr>
      </w:pPr>
      <w:r>
        <w:rPr>
          <w:rFonts w:hint="eastAsia"/>
          <w:color w:val="000000"/>
        </w:rPr>
        <w:t>建立设备材料全过程质量管控流程；核查合格证、出厂检测报告、型式试验文件，落实进场外观检查、尺寸复核、见证取样送检；对组件 EL 检测、支架防腐层厚度、电缆绝缘电阻、绝缘子耐压等关键指标逐批核验，不合格材料禁止进场使用。</w:t>
      </w:r>
    </w:p>
    <w:p w14:paraId="18F0DC9E">
      <w:pPr>
        <w:pStyle w:val="66"/>
        <w:numPr>
          <w:ilvl w:val="4"/>
          <w:numId w:val="14"/>
        </w:numPr>
        <w:rPr>
          <w:rFonts w:hint="eastAsia"/>
          <w:color w:val="000000"/>
        </w:rPr>
      </w:pPr>
      <w:r>
        <w:rPr>
          <w:rFonts w:hint="eastAsia"/>
          <w:color w:val="000000"/>
        </w:rPr>
        <w:t>全过程监督工程建设强制性标准、光伏专项规范、质量通病防治、新技术、绿色建造相关要求执行；对支架抗倾覆验算、组件接线工艺、接地连通、防水密封等高频质量点加大现场核查力度，留存影像检查记录。</w:t>
      </w:r>
    </w:p>
    <w:p w14:paraId="77C4A6A8">
      <w:pPr>
        <w:pStyle w:val="66"/>
        <w:numPr>
          <w:ilvl w:val="4"/>
          <w:numId w:val="14"/>
        </w:numPr>
        <w:rPr>
          <w:rFonts w:hint="eastAsia"/>
          <w:color w:val="000000"/>
        </w:rPr>
      </w:pPr>
      <w:r>
        <w:rPr>
          <w:rFonts w:hint="eastAsia"/>
          <w:color w:val="000000"/>
        </w:rPr>
        <w:t>督促施工单位落实自检、交接检、专检三级验收制度；依据划分的分部分项、单位工程验收计划，提前核对验收资料完整性，组织预验收，对验收缺陷统一汇总、限期整改后复验，方可进入下一工序。</w:t>
      </w:r>
    </w:p>
    <w:p w14:paraId="7813B100">
      <w:pPr>
        <w:pStyle w:val="66"/>
        <w:numPr>
          <w:ilvl w:val="4"/>
          <w:numId w:val="14"/>
        </w:numPr>
        <w:rPr>
          <w:rFonts w:hint="eastAsia"/>
          <w:color w:val="000000"/>
        </w:rPr>
      </w:pPr>
      <w:r>
        <w:rPr>
          <w:rFonts w:hint="eastAsia"/>
          <w:color w:val="000000"/>
        </w:rPr>
        <w:t>提前梳理质监申报资料清单，分基础、支架、电气、升压站、并网调试各阶段协助建设单位申报质量监督检查；统一组织参建单位整理图纸、试验报告、隐蔽记录等迎检资料，陪同质监现场核查，跟踪监督整改意见闭环。</w:t>
      </w:r>
    </w:p>
    <w:p w14:paraId="667D6B06">
      <w:pPr>
        <w:pStyle w:val="66"/>
        <w:numPr>
          <w:ilvl w:val="4"/>
          <w:numId w:val="14"/>
        </w:numPr>
        <w:rPr>
          <w:rFonts w:hint="eastAsia"/>
          <w:color w:val="000000"/>
        </w:rPr>
      </w:pPr>
      <w:r>
        <w:rPr>
          <w:rFonts w:hint="eastAsia"/>
          <w:color w:val="000000"/>
        </w:rPr>
        <w:t>现场发现一般质量缺陷下发整改通知单；发生质量事件、质量事故时第一时间参与现场勘查，调取施工、检测资料开展原因分析，制定处置、返工加固方案，跟踪整改实施；定期召开质量分析会，总结同类问题并制定事前预防措施。</w:t>
      </w:r>
    </w:p>
    <w:p w14:paraId="3EF5A2F4">
      <w:pPr>
        <w:pStyle w:val="66"/>
        <w:numPr>
          <w:ilvl w:val="4"/>
          <w:numId w:val="14"/>
        </w:numPr>
        <w:rPr>
          <w:rFonts w:hint="eastAsia"/>
          <w:color w:val="000000"/>
        </w:rPr>
      </w:pPr>
      <w:r>
        <w:rPr>
          <w:rFonts w:hint="eastAsia"/>
          <w:color w:val="000000"/>
        </w:rPr>
        <w:t>高海拔、沿海盐雾、海上等特殊区域项目，依据GB/T 22079针对绝缘子、电气设备、钢结构制定差异化验收指标，增加盐雾老化、绝缘耐压、防腐涂层厚度专项检测，降低环境侵蚀引发设备故障风险。</w:t>
      </w:r>
    </w:p>
    <w:p w14:paraId="3F8DACEC">
      <w:pPr>
        <w:pStyle w:val="66"/>
        <w:numPr>
          <w:ilvl w:val="4"/>
          <w:numId w:val="14"/>
        </w:numPr>
        <w:rPr>
          <w:color w:val="000000"/>
        </w:rPr>
      </w:pPr>
      <w:r>
        <w:rPr>
          <w:rFonts w:hint="eastAsia"/>
          <w:color w:val="000000"/>
        </w:rPr>
        <w:t>并网调试阶段全程提供测试质量咨询；提前梳理逆变器低电压穿越、有功/无功调节、电压响应、防孤岛保护、谐波、三相不平衡等试验项目清单，核对试验仪器计量有效期，旁站关键涉网试验，核对原始试验数据，全部指标</w:t>
      </w:r>
      <w:r>
        <w:rPr>
          <w:rFonts w:hint="eastAsia"/>
          <w:color w:val="000000"/>
          <w:lang w:val="en-US" w:eastAsia="zh-CN"/>
        </w:rPr>
        <w:t>合格</w:t>
      </w:r>
      <w:r>
        <w:rPr>
          <w:rFonts w:hint="eastAsia"/>
          <w:color w:val="000000"/>
        </w:rPr>
        <w:t>后方可完成并网测试验收。</w:t>
      </w:r>
    </w:p>
    <w:p w14:paraId="08F70009">
      <w:pPr>
        <w:pStyle w:val="58"/>
        <w:numPr>
          <w:ilvl w:val="3"/>
          <w:numId w:val="14"/>
        </w:numPr>
        <w:spacing w:before="120" w:after="120"/>
        <w:rPr>
          <w:color w:val="000000"/>
        </w:rPr>
      </w:pPr>
      <w:r>
        <w:rPr>
          <w:rFonts w:hint="eastAsia"/>
          <w:color w:val="000000"/>
        </w:rPr>
        <w:t>职业健康安全管理主要咨询工作</w:t>
      </w:r>
      <w:r>
        <w:rPr>
          <w:color w:val="000000"/>
        </w:rPr>
        <w:commentReference w:id="6"/>
      </w:r>
    </w:p>
    <w:p w14:paraId="34B65FA2">
      <w:pPr>
        <w:pStyle w:val="66"/>
        <w:numPr>
          <w:ilvl w:val="4"/>
          <w:numId w:val="14"/>
        </w:numPr>
        <w:rPr>
          <w:color w:val="000000"/>
        </w:rPr>
      </w:pPr>
      <w:r>
        <w:rPr>
          <w:rFonts w:hint="eastAsia"/>
          <w:color w:val="000000"/>
        </w:rPr>
        <w:t>协助建设单位对项目职业健康安全管理工作进行策划。</w:t>
      </w:r>
    </w:p>
    <w:p w14:paraId="5F173143">
      <w:pPr>
        <w:pStyle w:val="66"/>
        <w:numPr>
          <w:ilvl w:val="4"/>
          <w:numId w:val="14"/>
        </w:numPr>
        <w:rPr>
          <w:color w:val="000000"/>
        </w:rPr>
      </w:pPr>
      <w:r>
        <w:rPr>
          <w:rFonts w:hint="eastAsia"/>
          <w:color w:val="000000"/>
        </w:rPr>
        <w:t>对相关单位安全管理制度的建立健全情况进行审查。</w:t>
      </w:r>
    </w:p>
    <w:p w14:paraId="0877548D">
      <w:pPr>
        <w:pStyle w:val="66"/>
        <w:numPr>
          <w:ilvl w:val="4"/>
          <w:numId w:val="14"/>
        </w:numPr>
        <w:rPr>
          <w:color w:val="000000"/>
        </w:rPr>
      </w:pPr>
      <w:r>
        <w:rPr>
          <w:rFonts w:hint="eastAsia"/>
          <w:color w:val="000000"/>
        </w:rPr>
        <w:t>协助召开安全生产委会会议，督促问题整改。</w:t>
      </w:r>
    </w:p>
    <w:p w14:paraId="157F0CA7">
      <w:pPr>
        <w:pStyle w:val="66"/>
        <w:numPr>
          <w:ilvl w:val="4"/>
          <w:numId w:val="14"/>
        </w:numPr>
        <w:rPr>
          <w:color w:val="000000"/>
        </w:rPr>
      </w:pPr>
      <w:r>
        <w:rPr>
          <w:rFonts w:hint="eastAsia"/>
          <w:color w:val="000000"/>
        </w:rPr>
        <w:t>根据工程实际情况开展安全检查，督促问题整改闭环。</w:t>
      </w:r>
    </w:p>
    <w:p w14:paraId="24CD3893">
      <w:pPr>
        <w:pStyle w:val="66"/>
        <w:numPr>
          <w:ilvl w:val="4"/>
          <w:numId w:val="14"/>
        </w:numPr>
        <w:rPr>
          <w:color w:val="000000"/>
        </w:rPr>
      </w:pPr>
      <w:r>
        <w:rPr>
          <w:rFonts w:hint="eastAsia"/>
          <w:color w:val="000000"/>
        </w:rPr>
        <w:t>组织召开工程安全例会，分析现场安全管理情况，研究解决存在的安全问题。</w:t>
      </w:r>
    </w:p>
    <w:p w14:paraId="376B34B3">
      <w:pPr>
        <w:pStyle w:val="66"/>
        <w:numPr>
          <w:ilvl w:val="4"/>
          <w:numId w:val="14"/>
        </w:numPr>
        <w:rPr>
          <w:color w:val="000000"/>
        </w:rPr>
      </w:pPr>
      <w:r>
        <w:rPr>
          <w:rFonts w:hint="eastAsia"/>
          <w:color w:val="000000"/>
        </w:rPr>
        <w:t>督促各参建单位开展风险防控和隐患排查治理工作。海上光伏发电项目应定期组织进行海上救生培训、进行应急救援、应急撤离等演练。</w:t>
      </w:r>
    </w:p>
    <w:p w14:paraId="2C0F43BE">
      <w:pPr>
        <w:pStyle w:val="66"/>
        <w:numPr>
          <w:ilvl w:val="4"/>
          <w:numId w:val="14"/>
        </w:numPr>
        <w:rPr>
          <w:color w:val="000000"/>
        </w:rPr>
      </w:pPr>
      <w:r>
        <w:rPr>
          <w:rFonts w:hint="eastAsia"/>
          <w:color w:val="000000"/>
        </w:rPr>
        <w:t>督促参建单位开展职业健康工作。</w:t>
      </w:r>
    </w:p>
    <w:p w14:paraId="314B8D52">
      <w:pPr>
        <w:pStyle w:val="66"/>
        <w:numPr>
          <w:ilvl w:val="4"/>
          <w:numId w:val="14"/>
        </w:numPr>
        <w:rPr>
          <w:color w:val="000000"/>
        </w:rPr>
      </w:pPr>
      <w:r>
        <w:rPr>
          <w:rFonts w:hint="eastAsia"/>
          <w:color w:val="000000"/>
        </w:rPr>
        <w:t>组织编写现场应急处置方案。</w:t>
      </w:r>
    </w:p>
    <w:p w14:paraId="1918A509">
      <w:pPr>
        <w:pStyle w:val="66"/>
        <w:numPr>
          <w:ilvl w:val="4"/>
          <w:numId w:val="14"/>
        </w:numPr>
        <w:rPr>
          <w:color w:val="000000"/>
        </w:rPr>
      </w:pPr>
      <w:r>
        <w:rPr>
          <w:rFonts w:hint="eastAsia"/>
          <w:color w:val="000000"/>
        </w:rPr>
        <w:t>配合项目安全事件调查分析与处理。</w:t>
      </w:r>
    </w:p>
    <w:p w14:paraId="4C6BDAF6">
      <w:pPr>
        <w:pStyle w:val="58"/>
        <w:numPr>
          <w:ilvl w:val="3"/>
          <w:numId w:val="14"/>
        </w:numPr>
        <w:spacing w:before="120" w:after="120"/>
        <w:rPr>
          <w:color w:val="000000"/>
        </w:rPr>
      </w:pPr>
      <w:r>
        <w:rPr>
          <w:rFonts w:hint="eastAsia"/>
          <w:color w:val="000000"/>
        </w:rPr>
        <w:t>进度管理主要咨询工作</w:t>
      </w:r>
    </w:p>
    <w:p w14:paraId="614D5B74">
      <w:pPr>
        <w:pStyle w:val="66"/>
        <w:numPr>
          <w:ilvl w:val="4"/>
          <w:numId w:val="14"/>
        </w:numPr>
        <w:rPr>
          <w:color w:val="000000"/>
        </w:rPr>
      </w:pPr>
      <w:r>
        <w:rPr>
          <w:rFonts w:hint="eastAsia"/>
          <w:color w:val="000000"/>
        </w:rPr>
        <w:t>检查施工单位编制的施工进度计划，进度计划应结合以下季节特点编制：</w:t>
      </w:r>
      <w:r>
        <w:rPr>
          <w:color w:val="000000"/>
        </w:rPr>
        <w:commentReference w:id="7"/>
      </w:r>
    </w:p>
    <w:p w14:paraId="7424C4E3">
      <w:pPr>
        <w:pStyle w:val="65"/>
        <w:numPr>
          <w:ilvl w:val="0"/>
          <w:numId w:val="16"/>
        </w:numPr>
        <w:tabs>
          <w:tab w:val="clear" w:pos="851"/>
        </w:tabs>
        <w:ind w:firstLineChars="300"/>
        <w:rPr>
          <w:rFonts w:hint="eastAsia" w:ascii="宋体" w:hAnsi="Times New Roman" w:eastAsia="宋体" w:cs="Times New Roman"/>
          <w:color w:val="000000"/>
        </w:rPr>
      </w:pPr>
      <w:r>
        <w:rPr>
          <w:rFonts w:hint="eastAsia" w:ascii="宋体" w:hAnsi="Times New Roman" w:eastAsia="宋体" w:cs="Times New Roman"/>
          <w:color w:val="000000"/>
        </w:rPr>
        <w:t>雨季优先开展土建基础施工，避免基坑积水；</w:t>
      </w:r>
    </w:p>
    <w:p w14:paraId="1BFB4D26">
      <w:pPr>
        <w:pStyle w:val="65"/>
        <w:numPr>
          <w:ilvl w:val="0"/>
          <w:numId w:val="16"/>
        </w:numPr>
        <w:tabs>
          <w:tab w:val="clear" w:pos="851"/>
        </w:tabs>
        <w:ind w:firstLineChars="300"/>
        <w:rPr>
          <w:rFonts w:hint="eastAsia" w:ascii="宋体" w:hAnsi="Times New Roman" w:eastAsia="宋体" w:cs="Times New Roman"/>
          <w:color w:val="000000"/>
        </w:rPr>
      </w:pPr>
      <w:r>
        <w:rPr>
          <w:rFonts w:hint="eastAsia" w:ascii="宋体" w:hAnsi="Times New Roman" w:eastAsia="宋体" w:cs="Times New Roman"/>
          <w:color w:val="000000"/>
        </w:rPr>
        <w:t>旱季集中开展组件安装，减少阴影遮挡影响；</w:t>
      </w:r>
    </w:p>
    <w:p w14:paraId="6E7E39FA">
      <w:pPr>
        <w:pStyle w:val="65"/>
        <w:numPr>
          <w:ilvl w:val="0"/>
          <w:numId w:val="16"/>
        </w:numPr>
        <w:tabs>
          <w:tab w:val="clear" w:pos="851"/>
        </w:tabs>
        <w:ind w:firstLineChars="300"/>
        <w:rPr>
          <w:rFonts w:hint="eastAsia" w:ascii="宋体" w:hAnsi="Times New Roman" w:eastAsia="宋体" w:cs="Times New Roman"/>
          <w:color w:val="000000"/>
        </w:rPr>
      </w:pPr>
      <w:r>
        <w:rPr>
          <w:rFonts w:hint="eastAsia" w:ascii="宋体" w:hAnsi="Times New Roman" w:eastAsia="宋体" w:cs="Times New Roman"/>
          <w:color w:val="000000"/>
          <w:lang w:eastAsia="zh-CN"/>
        </w:rPr>
        <w:t>避开大风季节开展跟踪系统安装，当风速</w:t>
      </w:r>
      <w:r>
        <w:rPr>
          <w:rFonts w:hint="eastAsia" w:ascii="宋体" w:hAnsi="Times New Roman" w:eastAsia="宋体" w:cs="Times New Roman"/>
          <w:color w:val="000000"/>
          <w:lang w:val="en-US" w:eastAsia="zh-CN"/>
        </w:rPr>
        <w:t>超过规定值时应停止安装作业，以防设备损坏</w:t>
      </w:r>
      <w:r>
        <w:rPr>
          <w:rFonts w:hint="eastAsia" w:ascii="宋体" w:hAnsi="Times New Roman" w:eastAsia="宋体" w:cs="Times New Roman"/>
          <w:color w:val="000000"/>
        </w:rPr>
        <w:commentReference w:id="8"/>
      </w:r>
      <w:r>
        <w:rPr>
          <w:rFonts w:hint="eastAsia" w:ascii="宋体" w:hAnsi="Times New Roman" w:eastAsia="宋体" w:cs="Times New Roman"/>
          <w:color w:val="000000"/>
          <w:lang w:eastAsia="zh-CN"/>
        </w:rPr>
        <w:t>。</w:t>
      </w:r>
    </w:p>
    <w:p w14:paraId="521F2239">
      <w:pPr>
        <w:pStyle w:val="65"/>
        <w:numPr>
          <w:ilvl w:val="0"/>
          <w:numId w:val="16"/>
        </w:numPr>
        <w:tabs>
          <w:tab w:val="clear" w:pos="851"/>
        </w:tabs>
        <w:ind w:firstLineChars="300"/>
        <w:rPr>
          <w:rFonts w:hint="eastAsia" w:ascii="宋体" w:hAnsi="Times New Roman" w:eastAsia="宋体" w:cs="Times New Roman"/>
          <w:color w:val="000000"/>
        </w:rPr>
      </w:pPr>
      <w:r>
        <w:rPr>
          <w:rFonts w:hint="eastAsia" w:ascii="宋体" w:hAnsi="Times New Roman" w:eastAsia="宋体" w:cs="Times New Roman"/>
          <w:color w:val="000000"/>
        </w:rPr>
        <w:t>地面/戈壁集中光伏</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风沙季仅开展站内电气作业，同步安排场区固沙施工；积雪区域降雪前完成支架固定，冬季暂缓方阵布线。</w:t>
      </w:r>
    </w:p>
    <w:p w14:paraId="06FBF239">
      <w:pPr>
        <w:pStyle w:val="65"/>
        <w:numPr>
          <w:ilvl w:val="0"/>
          <w:numId w:val="16"/>
        </w:numPr>
        <w:tabs>
          <w:tab w:val="clear" w:pos="851"/>
        </w:tabs>
        <w:ind w:firstLineChars="300"/>
        <w:rPr>
          <w:rFonts w:hint="eastAsia" w:ascii="宋体" w:hAnsi="Times New Roman" w:eastAsia="宋体" w:cs="Times New Roman"/>
          <w:color w:val="000000"/>
        </w:rPr>
      </w:pPr>
      <w:r>
        <w:rPr>
          <w:rFonts w:hint="eastAsia" w:ascii="宋体" w:hAnsi="Times New Roman" w:eastAsia="宋体" w:cs="Times New Roman"/>
          <w:color w:val="000000"/>
        </w:rPr>
        <w:t>山地光伏汛期前完工挡土墙、截洪沟，汛期禁止边坡开挖；枯水期集中实施山路、桩基施工，规避山洪风险。</w:t>
      </w:r>
    </w:p>
    <w:p w14:paraId="60C7CA38">
      <w:pPr>
        <w:pStyle w:val="65"/>
        <w:numPr>
          <w:ilvl w:val="0"/>
          <w:numId w:val="16"/>
        </w:numPr>
        <w:tabs>
          <w:tab w:val="clear" w:pos="851"/>
        </w:tabs>
        <w:ind w:firstLineChars="300"/>
        <w:rPr>
          <w:rFonts w:hint="eastAsia" w:ascii="宋体" w:hAnsi="Times New Roman" w:eastAsia="宋体" w:cs="Times New Roman"/>
          <w:color w:val="000000"/>
        </w:rPr>
      </w:pPr>
      <w:r>
        <w:rPr>
          <w:rFonts w:hint="eastAsia" w:ascii="宋体" w:hAnsi="Times New Roman" w:eastAsia="宋体" w:cs="Times New Roman"/>
          <w:color w:val="000000"/>
        </w:rPr>
        <w:t>农/牧光互补</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农闲期开展基础、支架施工，减少耕地破坏；农忙错开大型开挖、吊装作业，保障农机通行。</w:t>
      </w:r>
    </w:p>
    <w:p w14:paraId="5AA35AC6">
      <w:pPr>
        <w:pStyle w:val="65"/>
        <w:numPr>
          <w:ilvl w:val="0"/>
          <w:numId w:val="16"/>
        </w:numPr>
        <w:tabs>
          <w:tab w:val="clear" w:pos="851"/>
        </w:tabs>
        <w:ind w:firstLineChars="300"/>
        <w:rPr>
          <w:rFonts w:hint="eastAsia" w:ascii="宋体" w:hAnsi="Times New Roman" w:eastAsia="宋体" w:cs="Times New Roman"/>
          <w:color w:val="000000"/>
        </w:rPr>
      </w:pPr>
      <w:r>
        <w:rPr>
          <w:rFonts w:hint="eastAsia" w:ascii="宋体" w:hAnsi="Times New Roman" w:eastAsia="宋体" w:cs="Times New Roman"/>
          <w:color w:val="000000"/>
        </w:rPr>
        <w:t>渔光互补</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枯水期实施塘堤、水下桩基、浮体锚固；汛期、养殖期减少水下施工，避免水体污染。</w:t>
      </w:r>
    </w:p>
    <w:p w14:paraId="14B9E318">
      <w:pPr>
        <w:pStyle w:val="65"/>
        <w:numPr>
          <w:ilvl w:val="0"/>
          <w:numId w:val="16"/>
        </w:numPr>
        <w:tabs>
          <w:tab w:val="clear" w:pos="851"/>
        </w:tabs>
        <w:ind w:firstLineChars="300"/>
        <w:rPr>
          <w:rFonts w:hint="eastAsia" w:ascii="宋体" w:hAnsi="Times New Roman" w:eastAsia="宋体" w:cs="Times New Roman"/>
          <w:color w:val="000000"/>
        </w:rPr>
      </w:pPr>
      <w:r>
        <w:rPr>
          <w:rFonts w:hint="eastAsia" w:ascii="宋体" w:hAnsi="Times New Roman" w:eastAsia="宋体" w:cs="Times New Roman"/>
          <w:color w:val="000000"/>
        </w:rPr>
        <w:t>BIPV 光伏建筑一体化</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雨天暂缓光伏幕墙密封吊装，优先室内预埋工序；大风天气停止高层光伏构件吊装作业。</w:t>
      </w:r>
    </w:p>
    <w:p w14:paraId="79359D3F">
      <w:pPr>
        <w:pStyle w:val="65"/>
        <w:numPr>
          <w:ilvl w:val="0"/>
          <w:numId w:val="16"/>
        </w:numPr>
        <w:tabs>
          <w:tab w:val="clear" w:pos="851"/>
        </w:tabs>
        <w:ind w:firstLineChars="300"/>
        <w:rPr>
          <w:rFonts w:hint="eastAsia" w:ascii="宋体" w:hAnsi="Times New Roman" w:eastAsia="宋体" w:cs="Times New Roman"/>
          <w:color w:val="000000"/>
        </w:rPr>
      </w:pPr>
      <w:r>
        <w:rPr>
          <w:rFonts w:hint="eastAsia" w:ascii="宋体" w:hAnsi="Times New Roman" w:eastAsia="宋体" w:cs="Times New Roman"/>
          <w:color w:val="000000"/>
        </w:rPr>
        <w:t>海上光伏</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台风季停止海上浮台、海缆、吊装作业，提前收拢浮体；依据潮汐、季风划定海上专属作业窗口期。</w:t>
      </w:r>
    </w:p>
    <w:p w14:paraId="2D956254">
      <w:pPr>
        <w:pStyle w:val="65"/>
        <w:numPr>
          <w:ilvl w:val="0"/>
          <w:numId w:val="16"/>
        </w:numPr>
        <w:tabs>
          <w:tab w:val="clear" w:pos="851"/>
        </w:tabs>
        <w:ind w:firstLineChars="300"/>
        <w:rPr>
          <w:rFonts w:hint="eastAsia" w:ascii="宋体" w:hAnsi="Times New Roman" w:eastAsia="宋体" w:cs="Times New Roman"/>
          <w:color w:val="000000"/>
        </w:rPr>
      </w:pPr>
      <w:r>
        <w:rPr>
          <w:rFonts w:hint="eastAsia" w:ascii="宋体" w:hAnsi="Times New Roman" w:eastAsia="宋体" w:cs="Times New Roman"/>
          <w:color w:val="000000"/>
        </w:rPr>
        <w:t>治沙、高海拔光伏</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暖季集中桩基、场平施工，冻土期不开展土方开挖；强风沙天气暂停露天组件安装，预留仓储遮蔽工期。</w:t>
      </w:r>
    </w:p>
    <w:p w14:paraId="5E26637A">
      <w:pPr>
        <w:pStyle w:val="66"/>
        <w:rPr>
          <w:color w:val="000000"/>
        </w:rPr>
      </w:pPr>
      <w:r>
        <w:rPr>
          <w:rFonts w:hint="eastAsia"/>
          <w:color w:val="000000"/>
        </w:rPr>
        <w:t>督促检查参建单位进度计划执行情况。</w:t>
      </w:r>
    </w:p>
    <w:p w14:paraId="446D8C30">
      <w:pPr>
        <w:pStyle w:val="66"/>
        <w:rPr>
          <w:color w:val="000000"/>
        </w:rPr>
      </w:pPr>
      <w:r>
        <w:rPr>
          <w:rFonts w:hint="eastAsia"/>
          <w:color w:val="000000"/>
        </w:rPr>
        <w:t>组织召开进度分析会，存在偏差时，督促责任单位纠偏。</w:t>
      </w:r>
    </w:p>
    <w:p w14:paraId="1875E606">
      <w:pPr>
        <w:pStyle w:val="66"/>
        <w:rPr>
          <w:color w:val="000000"/>
        </w:rPr>
      </w:pPr>
      <w:r>
        <w:rPr>
          <w:rFonts w:hint="eastAsia"/>
          <w:color w:val="000000"/>
        </w:rPr>
        <w:t>组织审查停电需求计划，参加调度部门审查会议，监督落实停电施工组织措施和技术措施，确保停电计划按期执行。</w:t>
      </w:r>
    </w:p>
    <w:p w14:paraId="5712F180">
      <w:pPr>
        <w:pStyle w:val="66"/>
        <w:rPr>
          <w:color w:val="000000"/>
        </w:rPr>
      </w:pPr>
      <w:r>
        <w:rPr>
          <w:rFonts w:hint="eastAsia"/>
          <w:color w:val="000000"/>
        </w:rPr>
        <w:t>审核开工报告、处理工程停工、复工及工期变更事宜。</w:t>
      </w:r>
    </w:p>
    <w:p w14:paraId="309F0256">
      <w:pPr>
        <w:pStyle w:val="66"/>
        <w:rPr>
          <w:color w:val="000000"/>
        </w:rPr>
      </w:pPr>
      <w:r>
        <w:rPr>
          <w:rFonts w:hint="eastAsia"/>
          <w:color w:val="000000"/>
        </w:rPr>
        <w:t>并网调试协助建设单位提前与电网公司确认试验窗口期，确保涉网试验一次性通过。</w:t>
      </w:r>
    </w:p>
    <w:p w14:paraId="682233FA">
      <w:pPr>
        <w:pStyle w:val="58"/>
        <w:spacing w:before="120" w:after="120"/>
        <w:rPr>
          <w:color w:val="000000"/>
        </w:rPr>
      </w:pPr>
      <w:r>
        <w:rPr>
          <w:rFonts w:hint="eastAsia"/>
          <w:color w:val="000000"/>
        </w:rPr>
        <w:t>合同管理主要咨询工作</w:t>
      </w:r>
    </w:p>
    <w:p w14:paraId="27CF7E75">
      <w:pPr>
        <w:pStyle w:val="66"/>
        <w:rPr>
          <w:color w:val="000000"/>
        </w:rPr>
      </w:pPr>
      <w:r>
        <w:rPr>
          <w:rFonts w:hint="eastAsia"/>
          <w:color w:val="000000"/>
        </w:rPr>
        <w:t>对合同的执行情况进行监督管理，及时协调合同执行过程中遇到的问题。</w:t>
      </w:r>
    </w:p>
    <w:p w14:paraId="20BC0327">
      <w:pPr>
        <w:pStyle w:val="66"/>
        <w:rPr>
          <w:color w:val="000000"/>
        </w:rPr>
      </w:pPr>
      <w:r>
        <w:rPr>
          <w:rFonts w:hint="eastAsia"/>
          <w:color w:val="000000"/>
        </w:rPr>
        <w:t>审批工程停工和复工报审材料。</w:t>
      </w:r>
    </w:p>
    <w:p w14:paraId="6DD3AE78">
      <w:pPr>
        <w:pStyle w:val="66"/>
        <w:rPr>
          <w:color w:val="000000"/>
        </w:rPr>
      </w:pPr>
      <w:r>
        <w:rPr>
          <w:rFonts w:hint="eastAsia"/>
          <w:color w:val="000000"/>
        </w:rPr>
        <w:t>审批工程临时延期、工程最终延期。</w:t>
      </w:r>
    </w:p>
    <w:p w14:paraId="541C31F0">
      <w:pPr>
        <w:pStyle w:val="66"/>
        <w:rPr>
          <w:color w:val="000000"/>
        </w:rPr>
      </w:pPr>
      <w:r>
        <w:rPr>
          <w:rFonts w:hint="eastAsia"/>
          <w:color w:val="000000"/>
        </w:rPr>
        <w:t>按合同约定及时处理设计单位、监理单位和施工单位因工程延期提出的工期索赔和费用索赔。</w:t>
      </w:r>
    </w:p>
    <w:p w14:paraId="05D6B915">
      <w:pPr>
        <w:pStyle w:val="66"/>
        <w:rPr>
          <w:color w:val="000000"/>
        </w:rPr>
      </w:pPr>
      <w:r>
        <w:rPr>
          <w:rFonts w:hint="eastAsia"/>
          <w:color w:val="000000"/>
        </w:rPr>
        <w:t>在合同争议仲裁或诉讼过程中，应按仲裁机关或法院要求提供与争议有关的证据。</w:t>
      </w:r>
    </w:p>
    <w:p w14:paraId="62CA1309">
      <w:pPr>
        <w:pStyle w:val="66"/>
        <w:rPr>
          <w:color w:val="000000"/>
        </w:rPr>
      </w:pPr>
      <w:r>
        <w:rPr>
          <w:rFonts w:hint="eastAsia"/>
          <w:color w:val="000000"/>
        </w:rPr>
        <w:t>因建设单位原因导致合同解除时，组织协商确定承包单位应得款项，并签署合同价款支付证书。因承包单位原因导致承包合同解除时，组织书面提交承包单位应得款项或偿还建设单位款项的证明。</w:t>
      </w:r>
    </w:p>
    <w:p w14:paraId="1181F26D">
      <w:pPr>
        <w:pStyle w:val="66"/>
        <w:rPr>
          <w:color w:val="000000"/>
        </w:rPr>
      </w:pPr>
      <w:r>
        <w:rPr>
          <w:rFonts w:hint="eastAsia"/>
          <w:color w:val="000000"/>
        </w:rPr>
        <w:t>因非合同双方原因导致合同解除时，应按合同约定协助建设单位处理合同解除后的有关事宜。</w:t>
      </w:r>
    </w:p>
    <w:p w14:paraId="7BCDBEB8">
      <w:pPr>
        <w:pStyle w:val="66"/>
        <w:rPr>
          <w:color w:val="000000"/>
        </w:rPr>
      </w:pPr>
      <w:r>
        <w:rPr>
          <w:rFonts w:hint="eastAsia"/>
          <w:color w:val="000000"/>
        </w:rPr>
        <w:t>组织收集、整理有关工程费用的原始资料，为处理费用索赔提供证据。</w:t>
      </w:r>
    </w:p>
    <w:p w14:paraId="5694765A">
      <w:pPr>
        <w:pStyle w:val="66"/>
        <w:rPr>
          <w:color w:val="000000"/>
        </w:rPr>
      </w:pPr>
      <w:r>
        <w:rPr>
          <w:rFonts w:hint="eastAsia"/>
          <w:color w:val="000000"/>
        </w:rPr>
        <w:t>按程序组织处理参建单位提出的费用索赔。</w:t>
      </w:r>
    </w:p>
    <w:p w14:paraId="727CC5C7">
      <w:pPr>
        <w:pStyle w:val="66"/>
        <w:rPr>
          <w:color w:val="000000"/>
        </w:rPr>
      </w:pPr>
      <w:r>
        <w:rPr>
          <w:rFonts w:hint="eastAsia"/>
          <w:color w:val="000000"/>
        </w:rPr>
        <w:t>因参建单位原因造成建设单位损失，应提出索赔建议，并与建设单位、参建单位协商。</w:t>
      </w:r>
    </w:p>
    <w:p w14:paraId="4A131BFD">
      <w:pPr>
        <w:pStyle w:val="58"/>
        <w:spacing w:before="120" w:after="120"/>
        <w:rPr>
          <w:color w:val="000000"/>
        </w:rPr>
      </w:pPr>
      <w:r>
        <w:rPr>
          <w:rFonts w:hint="eastAsia"/>
          <w:color w:val="000000"/>
        </w:rPr>
        <w:t>造价管理主要咨询工作</w:t>
      </w:r>
    </w:p>
    <w:p w14:paraId="72116CC9">
      <w:pPr>
        <w:pStyle w:val="66"/>
        <w:rPr>
          <w:color w:val="000000"/>
        </w:rPr>
      </w:pPr>
      <w:r>
        <w:rPr>
          <w:rFonts w:hint="eastAsia"/>
          <w:color w:val="000000"/>
        </w:rPr>
        <w:t>工程造价咨询服务应满足DL/T 5434中13.4的要求。</w:t>
      </w:r>
    </w:p>
    <w:p w14:paraId="08A3BE18">
      <w:pPr>
        <w:pStyle w:val="66"/>
        <w:rPr>
          <w:color w:val="000000"/>
        </w:rPr>
      </w:pPr>
      <w:r>
        <w:rPr>
          <w:rFonts w:hint="eastAsia"/>
          <w:color w:val="000000"/>
        </w:rPr>
        <w:t>制订资金需求计划，并根据工程进展动态调整。</w:t>
      </w:r>
    </w:p>
    <w:p w14:paraId="752E1E97">
      <w:pPr>
        <w:pStyle w:val="66"/>
        <w:rPr>
          <w:color w:val="000000"/>
        </w:rPr>
      </w:pPr>
      <w:r>
        <w:rPr>
          <w:rFonts w:hint="eastAsia"/>
          <w:color w:val="000000"/>
        </w:rPr>
        <w:t>审核工程计量与合同价款。</w:t>
      </w:r>
    </w:p>
    <w:p w14:paraId="7E3A5509">
      <w:pPr>
        <w:pStyle w:val="66"/>
        <w:rPr>
          <w:color w:val="000000"/>
        </w:rPr>
      </w:pPr>
      <w:r>
        <w:rPr>
          <w:rFonts w:hint="eastAsia"/>
          <w:color w:val="000000"/>
        </w:rPr>
        <w:t>审核各参建单位预付款、进度款，签发支付凭证，报建设单位批准支付。</w:t>
      </w:r>
    </w:p>
    <w:p w14:paraId="7BADA7A0">
      <w:pPr>
        <w:pStyle w:val="66"/>
        <w:rPr>
          <w:color w:val="000000"/>
        </w:rPr>
      </w:pPr>
      <w:r>
        <w:rPr>
          <w:rFonts w:hint="eastAsia"/>
          <w:color w:val="000000"/>
        </w:rPr>
        <w:t>协助进行材料和设备的询价与核价工作。</w:t>
      </w:r>
    </w:p>
    <w:p w14:paraId="71E5E920">
      <w:pPr>
        <w:pStyle w:val="66"/>
        <w:rPr>
          <w:color w:val="000000"/>
        </w:rPr>
      </w:pPr>
      <w:r>
        <w:rPr>
          <w:rFonts w:hint="eastAsia"/>
          <w:color w:val="000000"/>
        </w:rPr>
        <w:t>审核工程变更、工程签证和工程索赔。</w:t>
      </w:r>
    </w:p>
    <w:p w14:paraId="3A630001">
      <w:pPr>
        <w:pStyle w:val="66"/>
        <w:rPr>
          <w:color w:val="000000"/>
        </w:rPr>
      </w:pPr>
      <w:r>
        <w:rPr>
          <w:rFonts w:hint="eastAsia"/>
          <w:color w:val="000000"/>
        </w:rPr>
        <w:t>建立工作量和资金支付统计台账，根据工程进展进行偏差分析，提出调整建议。</w:t>
      </w:r>
    </w:p>
    <w:p w14:paraId="2ACE758E">
      <w:pPr>
        <w:pStyle w:val="58"/>
        <w:spacing w:before="120" w:after="120"/>
        <w:rPr>
          <w:color w:val="000000"/>
        </w:rPr>
      </w:pPr>
      <w:r>
        <w:rPr>
          <w:rFonts w:hint="eastAsia"/>
          <w:color w:val="000000"/>
        </w:rPr>
        <w:t>设计管理主要咨询工作</w:t>
      </w:r>
    </w:p>
    <w:p w14:paraId="5D44C41E">
      <w:pPr>
        <w:pStyle w:val="66"/>
        <w:rPr>
          <w:rFonts w:hint="eastAsia"/>
          <w:color w:val="000000"/>
        </w:rPr>
      </w:pPr>
      <w:r>
        <w:rPr>
          <w:rFonts w:hint="eastAsia"/>
          <w:color w:val="000000"/>
        </w:rPr>
        <w:t>督促设计单位为施工现场提供工代服务，对设计单位的工作进行日常管理，对设计单位</w:t>
      </w:r>
    </w:p>
    <w:p w14:paraId="5D0EB675">
      <w:pPr>
        <w:pStyle w:val="66"/>
        <w:numPr>
          <w:ilvl w:val="4"/>
          <w:numId w:val="0"/>
        </w:numPr>
        <w:rPr>
          <w:color w:val="000000"/>
        </w:rPr>
      </w:pPr>
      <w:r>
        <w:rPr>
          <w:rFonts w:hint="eastAsia"/>
          <w:color w:val="000000"/>
        </w:rPr>
        <w:t>是否按合同履约、是否按合同约定提交成果文件进行监督管理。</w:t>
      </w:r>
    </w:p>
    <w:p w14:paraId="4EE0CA36">
      <w:pPr>
        <w:pStyle w:val="66"/>
        <w:rPr>
          <w:color w:val="000000"/>
        </w:rPr>
      </w:pPr>
      <w:r>
        <w:rPr>
          <w:rFonts w:hint="eastAsia"/>
          <w:color w:val="000000"/>
        </w:rPr>
        <w:t>审核、处理设计变更、工程洽商、签证的技术问题。</w:t>
      </w:r>
    </w:p>
    <w:p w14:paraId="28FAD870">
      <w:pPr>
        <w:pStyle w:val="66"/>
        <w:rPr>
          <w:color w:val="000000"/>
        </w:rPr>
      </w:pPr>
      <w:r>
        <w:rPr>
          <w:rFonts w:hint="eastAsia"/>
          <w:color w:val="000000"/>
        </w:rPr>
        <w:t>根据工程实际，督促相关单位及时出具工程联系单、设计变更单。</w:t>
      </w:r>
    </w:p>
    <w:p w14:paraId="2DC6F4F5">
      <w:pPr>
        <w:pStyle w:val="66"/>
        <w:rPr>
          <w:color w:val="000000"/>
        </w:rPr>
      </w:pPr>
      <w:r>
        <w:rPr>
          <w:rFonts w:hint="eastAsia"/>
          <w:color w:val="000000"/>
        </w:rPr>
        <w:t>协调解决工程建设中出现的技术争议。</w:t>
      </w:r>
    </w:p>
    <w:p w14:paraId="42CAB248">
      <w:pPr>
        <w:pStyle w:val="58"/>
        <w:spacing w:before="120" w:after="120"/>
        <w:rPr>
          <w:color w:val="000000"/>
        </w:rPr>
      </w:pPr>
      <w:r>
        <w:rPr>
          <w:rFonts w:hint="eastAsia"/>
          <w:color w:val="000000"/>
        </w:rPr>
        <w:t>物资管理主要咨询工作</w:t>
      </w:r>
    </w:p>
    <w:p w14:paraId="338DFF34">
      <w:pPr>
        <w:pStyle w:val="66"/>
        <w:rPr>
          <w:color w:val="000000"/>
        </w:rPr>
      </w:pPr>
      <w:r>
        <w:rPr>
          <w:rFonts w:hint="eastAsia"/>
          <w:color w:val="000000"/>
        </w:rPr>
        <w:t>若合同约定有设备监造（监理）服务，应督促设备监造（监理）单位按照合同要求开展工作；若未委托设备监造，应组织协调设备供应单位与施工单位完成设备到货验收、安装调试及质量跟踪等物资管理工作。</w:t>
      </w:r>
    </w:p>
    <w:p w14:paraId="4F52B37F">
      <w:pPr>
        <w:pStyle w:val="66"/>
        <w:rPr>
          <w:color w:val="000000"/>
        </w:rPr>
      </w:pPr>
      <w:r>
        <w:rPr>
          <w:rFonts w:hint="eastAsia"/>
          <w:color w:val="000000"/>
        </w:rPr>
        <w:t>组织设备供应单位及施工单位编制物资到货计划，动态跟踪设备、材料的生产进度和供货情况，并对主要设备出厂试验进行见证，协调解决物资供应问题。</w:t>
      </w:r>
    </w:p>
    <w:p w14:paraId="6F2E02CD">
      <w:pPr>
        <w:pStyle w:val="66"/>
        <w:rPr>
          <w:color w:val="000000"/>
        </w:rPr>
      </w:pPr>
      <w:r>
        <w:rPr>
          <w:rFonts w:hint="eastAsia"/>
          <w:color w:val="000000"/>
        </w:rPr>
        <w:t>落实组件运输和存储措施落实到位，督促供应商采用专用支架固定，避免运输过程中振动导致隐裂。检查施工单位是否采取垫高防潮措施进行存储，确保组件离地距离符合要求。</w:t>
      </w:r>
    </w:p>
    <w:p w14:paraId="2B350243">
      <w:pPr>
        <w:pStyle w:val="66"/>
        <w:rPr>
          <w:color w:val="000000"/>
        </w:rPr>
      </w:pPr>
      <w:r>
        <w:rPr>
          <w:rFonts w:hint="eastAsia"/>
          <w:color w:val="000000"/>
        </w:rPr>
        <w:t>组织主要设备材料到货验收和开箱检查，并共同签署到货验收单。</w:t>
      </w:r>
    </w:p>
    <w:p w14:paraId="03C40EFE">
      <w:pPr>
        <w:pStyle w:val="66"/>
        <w:rPr>
          <w:color w:val="000000"/>
        </w:rPr>
      </w:pPr>
      <w:r>
        <w:rPr>
          <w:rFonts w:hint="eastAsia"/>
          <w:color w:val="000000"/>
        </w:rPr>
        <w:t>组织进行逆变器验收，重点检测低电压穿越功能是否满足设计要求。</w:t>
      </w:r>
    </w:p>
    <w:p w14:paraId="161F0790">
      <w:pPr>
        <w:pStyle w:val="66"/>
        <w:rPr>
          <w:color w:val="000000"/>
        </w:rPr>
      </w:pPr>
      <w:r>
        <w:rPr>
          <w:rFonts w:hint="eastAsia"/>
          <w:color w:val="000000"/>
        </w:rPr>
        <w:t>跟踪系统验收，确保测试跟踪精度符合设计要求、系统应急停机功能有效，断电后自动复位至安全角度。</w:t>
      </w:r>
    </w:p>
    <w:p w14:paraId="4F3E8FFB">
      <w:pPr>
        <w:pStyle w:val="66"/>
        <w:rPr>
          <w:color w:val="000000"/>
        </w:rPr>
      </w:pPr>
      <w:r>
        <w:rPr>
          <w:rFonts w:hint="eastAsia"/>
          <w:color w:val="000000"/>
        </w:rPr>
        <w:t>协调解决施工过程中的设备材料、设备质量问题，协助追究责任方的违约责任。</w:t>
      </w:r>
    </w:p>
    <w:p w14:paraId="21536FE1">
      <w:pPr>
        <w:pStyle w:val="58"/>
        <w:spacing w:before="120" w:after="120"/>
        <w:rPr>
          <w:color w:val="000000"/>
        </w:rPr>
      </w:pPr>
      <w:r>
        <w:rPr>
          <w:rFonts w:hint="eastAsia" w:ascii="黑体" w:hAnsi="Times New Roman" w:eastAsia="黑体" w:cs="Times New Roman"/>
          <w:b w:val="0"/>
          <w:bCs w:val="0"/>
          <w:i w:val="0"/>
          <w:iCs w:val="0"/>
          <w:caps w:val="0"/>
          <w:color w:val="000000"/>
          <w:spacing w:val="0"/>
          <w:sz w:val="21"/>
          <w:szCs w:val="20"/>
          <w:shd w:val="clear" w:color="auto" w:fill="auto"/>
        </w:rPr>
        <w:t>环境保护管理主要咨询工作</w:t>
      </w:r>
    </w:p>
    <w:p w14:paraId="60F96A9A">
      <w:pPr>
        <w:pStyle w:val="66"/>
        <w:outlineLvl w:val="9"/>
        <w:rPr>
          <w:rFonts w:hint="eastAsia"/>
        </w:rPr>
      </w:pPr>
      <w:r>
        <w:rPr>
          <w:rFonts w:hint="eastAsia"/>
        </w:rPr>
        <w:t>根据相关标准要求，对工程建设实施阶段的环境保护工作进行全过程监督管理。</w:t>
      </w:r>
    </w:p>
    <w:p w14:paraId="40330481">
      <w:pPr>
        <w:pStyle w:val="66"/>
        <w:outlineLvl w:val="9"/>
        <w:rPr>
          <w:rFonts w:hint="eastAsia"/>
        </w:rPr>
      </w:pPr>
      <w:r>
        <w:rPr>
          <w:rFonts w:hint="eastAsia"/>
        </w:rPr>
        <w:t>协助建设单位建立健全项目环境保护管理体系，明确各参建单位环保责任，制定施工期环境保护管理制度和考核办法。</w:t>
      </w:r>
    </w:p>
    <w:p w14:paraId="1EFA976E">
      <w:pPr>
        <w:pStyle w:val="66"/>
        <w:outlineLvl w:val="9"/>
        <w:rPr>
          <w:rFonts w:hint="eastAsia"/>
        </w:rPr>
      </w:pPr>
      <w:r>
        <w:rPr>
          <w:rFonts w:hint="eastAsia"/>
        </w:rPr>
        <w:t>督促建设单位按规定委托具备相应能力的环境监理机构开展施工期环境监理工作，并协调各参建单位配合环境监理的实施</w:t>
      </w:r>
      <w:r>
        <w:rPr>
          <w:rFonts w:hint="eastAsia"/>
          <w:lang w:eastAsia="zh-CN"/>
        </w:rPr>
        <w:t>。</w:t>
      </w:r>
      <w:r>
        <w:rPr>
          <w:rFonts w:hint="eastAsia"/>
        </w:rPr>
        <w:t>监督检查施工过程中废水、废气、噪声、固废等污染因子的排放控制情况，确保符合GB 12523、GB 16297等标准要求。</w:t>
      </w:r>
    </w:p>
    <w:p w14:paraId="5EB79381">
      <w:pPr>
        <w:pStyle w:val="66"/>
        <w:outlineLvl w:val="9"/>
        <w:rPr>
          <w:rFonts w:hint="eastAsia"/>
        </w:rPr>
      </w:pPr>
      <w:r>
        <w:rPr>
          <w:rFonts w:hint="eastAsia"/>
        </w:rPr>
        <w:t>监督检查施工过程中自然生态保护和恢复措施的落实情况，重点核查植被保护、表土剥离与回用、临时占地恢复等生态保护措施的执行情况。</w:t>
      </w:r>
    </w:p>
    <w:p w14:paraId="07A04E55">
      <w:pPr>
        <w:pStyle w:val="66"/>
        <w:outlineLvl w:val="9"/>
        <w:rPr>
          <w:rFonts w:hint="eastAsia"/>
        </w:rPr>
      </w:pPr>
      <w:r>
        <w:rPr>
          <w:rFonts w:hint="eastAsia"/>
        </w:rPr>
        <w:t>督促施工单位落实水土保持工程措施和植物措施，按水土保持方案要求开展水土流失防治工作。</w:t>
      </w:r>
    </w:p>
    <w:p w14:paraId="5541EED6">
      <w:pPr>
        <w:pStyle w:val="66"/>
        <w:outlineLvl w:val="9"/>
        <w:rPr>
          <w:rFonts w:hint="eastAsia"/>
        </w:rPr>
      </w:pPr>
      <w:r>
        <w:rPr>
          <w:rFonts w:hint="eastAsia"/>
        </w:rPr>
        <w:t>组织施工期环境监测工作，制定环境监测方案，委托有资质的监测机构对施工区域的环境质量进行定期监测。</w:t>
      </w:r>
    </w:p>
    <w:p w14:paraId="512ED2C3">
      <w:pPr>
        <w:pStyle w:val="66"/>
        <w:outlineLvl w:val="9"/>
        <w:rPr>
          <w:rFonts w:hint="eastAsia"/>
        </w:rPr>
      </w:pPr>
      <w:r>
        <w:rPr>
          <w:rFonts w:hint="eastAsia"/>
        </w:rPr>
        <w:t>监督检查施工废水处理设施的运行情况，确保施工废水达标排放或回用；监督生活污水收集处理、固体废物分类收集与处置等环保措施的落实。</w:t>
      </w:r>
    </w:p>
    <w:p w14:paraId="7C58EBA9">
      <w:pPr>
        <w:pStyle w:val="66"/>
        <w:outlineLvl w:val="9"/>
        <w:rPr>
          <w:rFonts w:hint="eastAsia"/>
        </w:rPr>
      </w:pPr>
      <w:r>
        <w:rPr>
          <w:rFonts w:hint="eastAsia"/>
        </w:rPr>
        <w:t>督促施工单位建立环保设施运行台账和固废管理台账，按要求制定危险废物管理计划和管理台账。</w:t>
      </w:r>
    </w:p>
    <w:p w14:paraId="73B27810">
      <w:pPr>
        <w:pStyle w:val="66"/>
        <w:outlineLvl w:val="9"/>
        <w:rPr>
          <w:rFonts w:hint="eastAsia"/>
        </w:rPr>
      </w:pPr>
      <w:r>
        <w:rPr>
          <w:rFonts w:hint="eastAsia"/>
        </w:rPr>
        <w:t>对施工中出现的环境问题及时提出整改要求，督促责任单位限期整改并复查验收。</w:t>
      </w:r>
    </w:p>
    <w:p w14:paraId="57F55A10">
      <w:pPr>
        <w:pStyle w:val="66"/>
        <w:outlineLvl w:val="9"/>
      </w:pPr>
      <w:r>
        <w:rPr>
          <w:rFonts w:hint="eastAsia"/>
        </w:rPr>
        <w:t>参与施工过程中环境事件或投诉的调查、分析与处理，协调解决环保相关问题。</w:t>
      </w:r>
    </w:p>
    <w:p w14:paraId="14BA1927">
      <w:pPr>
        <w:pStyle w:val="58"/>
        <w:spacing w:before="120" w:after="120"/>
        <w:rPr>
          <w:color w:val="000000"/>
        </w:rPr>
      </w:pPr>
      <w:r>
        <w:rPr>
          <w:rFonts w:hint="eastAsia"/>
          <w:color w:val="000000"/>
        </w:rPr>
        <w:t>档案信息管理</w:t>
      </w:r>
    </w:p>
    <w:p w14:paraId="347ACE7F">
      <w:pPr>
        <w:pStyle w:val="66"/>
        <w:outlineLvl w:val="9"/>
        <w:rPr>
          <w:color w:val="000000"/>
        </w:rPr>
      </w:pPr>
      <w:r>
        <w:rPr>
          <w:rFonts w:hint="eastAsia"/>
          <w:color w:val="000000"/>
        </w:rPr>
        <w:t>制定项目文件归档计划，建立及落实项目档案管理责任制。</w:t>
      </w:r>
    </w:p>
    <w:p w14:paraId="2D157BA0">
      <w:pPr>
        <w:pStyle w:val="66"/>
        <w:outlineLvl w:val="9"/>
        <w:rPr>
          <w:color w:val="000000"/>
        </w:rPr>
      </w:pPr>
      <w:r>
        <w:rPr>
          <w:rFonts w:hint="eastAsia"/>
          <w:color w:val="000000"/>
        </w:rPr>
        <w:t>对项目文件收集、整理、归档质量等管理要求进行交底。</w:t>
      </w:r>
    </w:p>
    <w:p w14:paraId="6912665C">
      <w:pPr>
        <w:pStyle w:val="66"/>
        <w:outlineLvl w:val="9"/>
        <w:rPr>
          <w:color w:val="000000"/>
        </w:rPr>
      </w:pPr>
      <w:r>
        <w:rPr>
          <w:rFonts w:hint="eastAsia"/>
          <w:color w:val="000000"/>
        </w:rPr>
        <w:t xml:space="preserve">督促检查参建单位项目文件日常管理工作。 </w:t>
      </w:r>
    </w:p>
    <w:p w14:paraId="5A94BC41">
      <w:pPr>
        <w:pStyle w:val="66"/>
        <w:outlineLvl w:val="9"/>
        <w:rPr>
          <w:color w:val="000000"/>
        </w:rPr>
      </w:pPr>
      <w:r>
        <w:rPr>
          <w:rFonts w:hint="eastAsia"/>
          <w:color w:val="000000"/>
        </w:rPr>
        <w:t>收集、整理职责范围内形成的项目文件。</w:t>
      </w:r>
    </w:p>
    <w:p w14:paraId="575487CB">
      <w:pPr>
        <w:pStyle w:val="66"/>
        <w:outlineLvl w:val="9"/>
        <w:rPr>
          <w:color w:val="000000"/>
        </w:rPr>
      </w:pPr>
      <w:r>
        <w:rPr>
          <w:rFonts w:hint="eastAsia"/>
          <w:color w:val="000000"/>
        </w:rPr>
        <w:t>督促参建单位对应归档的项目文件按档案管理规范要求进行整理，审查合格后向建设单位移交。</w:t>
      </w:r>
    </w:p>
    <w:p w14:paraId="576AB60C">
      <w:pPr>
        <w:pStyle w:val="66"/>
        <w:outlineLvl w:val="9"/>
        <w:rPr>
          <w:color w:val="000000"/>
        </w:rPr>
      </w:pPr>
      <w:r>
        <w:rPr>
          <w:rFonts w:hint="eastAsia"/>
          <w:color w:val="000000"/>
        </w:rPr>
        <w:t>在城市建设规划范围内的项目，按有关规定向城建档案管理机构移交相关档案。</w:t>
      </w:r>
    </w:p>
    <w:p w14:paraId="6933970D">
      <w:pPr>
        <w:pStyle w:val="66"/>
        <w:outlineLvl w:val="9"/>
        <w:rPr>
          <w:color w:val="000000"/>
        </w:rPr>
      </w:pPr>
      <w:r>
        <w:rPr>
          <w:rFonts w:hint="eastAsia"/>
          <w:color w:val="000000"/>
        </w:rPr>
        <w:t>配合建设单位完成重点工程的档案专项验收。</w:t>
      </w:r>
    </w:p>
    <w:p w14:paraId="374143CA">
      <w:pPr>
        <w:pStyle w:val="58"/>
        <w:spacing w:before="120" w:after="120"/>
        <w:rPr>
          <w:color w:val="000000"/>
        </w:rPr>
      </w:pPr>
      <w:r>
        <w:rPr>
          <w:rFonts w:hint="eastAsia"/>
          <w:color w:val="000000"/>
        </w:rPr>
        <w:t>启动验收管理主要咨询工作</w:t>
      </w:r>
    </w:p>
    <w:p w14:paraId="4214F4C3">
      <w:pPr>
        <w:pStyle w:val="66"/>
        <w:rPr>
          <w:color w:val="000000"/>
        </w:rPr>
      </w:pPr>
      <w:r>
        <w:rPr>
          <w:rFonts w:hint="eastAsia"/>
          <w:color w:val="000000"/>
        </w:rPr>
        <w:t>协助成立工程启动验收委员会。</w:t>
      </w:r>
    </w:p>
    <w:p w14:paraId="55E866C6">
      <w:pPr>
        <w:pStyle w:val="66"/>
        <w:rPr>
          <w:color w:val="000000"/>
        </w:rPr>
      </w:pPr>
      <w:r>
        <w:rPr>
          <w:rFonts w:hint="eastAsia"/>
          <w:color w:val="000000"/>
        </w:rPr>
        <w:t>协助</w:t>
      </w:r>
      <w:r>
        <w:rPr>
          <w:rFonts w:hint="eastAsia"/>
          <w:color w:val="000000"/>
          <w:lang w:val="en-US" w:eastAsia="zh-CN"/>
        </w:rPr>
        <w:t>建设单位</w:t>
      </w:r>
      <w:r>
        <w:rPr>
          <w:rFonts w:hint="eastAsia"/>
          <w:color w:val="000000"/>
        </w:rPr>
        <w:t>组织参建单位编写启动方案。</w:t>
      </w:r>
    </w:p>
    <w:p w14:paraId="0739784F">
      <w:pPr>
        <w:pStyle w:val="66"/>
        <w:rPr>
          <w:color w:val="000000"/>
        </w:rPr>
      </w:pPr>
      <w:r>
        <w:rPr>
          <w:rFonts w:hint="eastAsia"/>
          <w:color w:val="000000"/>
          <w:lang w:val="en-US" w:eastAsia="zh-CN"/>
        </w:rPr>
        <w:t>协助建设单位</w:t>
      </w:r>
      <w:r>
        <w:rPr>
          <w:rFonts w:hint="eastAsia"/>
          <w:color w:val="000000"/>
        </w:rPr>
        <w:t>组织完成消防、人防、环保、水保等专项验收。其中环保专项验收应按照建设项目竣工环境保护验收相关规定，组织完成验收调查（含生态环境影响调查、声环境影响调查、水环境影响调查、固体废物影响调查、环境保护措施落实核查等），编制竣工环境保护验收报告。</w:t>
      </w:r>
    </w:p>
    <w:p w14:paraId="42516E33">
      <w:pPr>
        <w:pStyle w:val="66"/>
        <w:rPr>
          <w:color w:val="000000"/>
        </w:rPr>
      </w:pPr>
      <w:r>
        <w:rPr>
          <w:rFonts w:hint="eastAsia"/>
          <w:color w:val="000000"/>
          <w:lang w:val="en-US" w:eastAsia="zh-CN"/>
        </w:rPr>
        <w:t>协助建设单位</w:t>
      </w:r>
      <w:r>
        <w:rPr>
          <w:rFonts w:hint="eastAsia"/>
          <w:color w:val="000000"/>
        </w:rPr>
        <w:t>完成消防、人防等专项验收。</w:t>
      </w:r>
    </w:p>
    <w:p w14:paraId="14A48656">
      <w:pPr>
        <w:pStyle w:val="66"/>
        <w:rPr>
          <w:color w:val="000000"/>
        </w:rPr>
      </w:pPr>
      <w:r>
        <w:rPr>
          <w:rFonts w:hint="eastAsia"/>
          <w:color w:val="000000"/>
        </w:rPr>
        <w:t>协助组织启动预验收，参加启动验收，组织验收中发现问题的整改。</w:t>
      </w:r>
    </w:p>
    <w:p w14:paraId="36509CE8">
      <w:pPr>
        <w:pStyle w:val="66"/>
        <w:rPr>
          <w:color w:val="000000"/>
        </w:rPr>
      </w:pPr>
      <w:r>
        <w:rPr>
          <w:rFonts w:hint="eastAsia" w:hAnsi="宋体" w:cs="宋体"/>
          <w:color w:val="000000"/>
          <w:szCs w:val="21"/>
        </w:rPr>
        <w:t>组织核查涉网试验的符合性。</w:t>
      </w:r>
    </w:p>
    <w:p w14:paraId="0F24BD52">
      <w:pPr>
        <w:pStyle w:val="66"/>
        <w:rPr>
          <w:color w:val="000000"/>
        </w:rPr>
      </w:pPr>
      <w:r>
        <w:rPr>
          <w:rFonts w:hint="eastAsia"/>
          <w:color w:val="000000"/>
        </w:rPr>
        <w:t>配合工程质量监督检查。</w:t>
      </w:r>
    </w:p>
    <w:p w14:paraId="2DB5BD74">
      <w:pPr>
        <w:pStyle w:val="66"/>
        <w:spacing w:line="360" w:lineRule="auto"/>
        <w:rPr>
          <w:color w:val="000000"/>
        </w:rPr>
      </w:pPr>
      <w:r>
        <w:rPr>
          <w:rFonts w:hint="eastAsia"/>
          <w:color w:val="000000"/>
        </w:rPr>
        <w:t>协助</w:t>
      </w:r>
      <w:r>
        <w:rPr>
          <w:rFonts w:hint="eastAsia"/>
          <w:color w:val="000000"/>
          <w:lang w:val="en-US" w:eastAsia="zh-CN"/>
        </w:rPr>
        <w:t>建设单位</w:t>
      </w:r>
      <w:r>
        <w:rPr>
          <w:rFonts w:hint="eastAsia"/>
          <w:color w:val="000000"/>
        </w:rPr>
        <w:t>提交并网申请。</w:t>
      </w:r>
    </w:p>
    <w:p w14:paraId="1BE0B5BB">
      <w:pPr>
        <w:pStyle w:val="66"/>
        <w:spacing w:line="360" w:lineRule="auto"/>
        <w:rPr>
          <w:color w:val="000000"/>
        </w:rPr>
      </w:pPr>
      <w:r>
        <w:rPr>
          <w:rFonts w:hint="eastAsia"/>
          <w:color w:val="000000"/>
        </w:rPr>
        <w:t>具备启动验收条件后，申请启动验收，组织参建单位配合启动投运工作。</w:t>
      </w:r>
    </w:p>
    <w:p w14:paraId="6CE19659">
      <w:pPr>
        <w:pStyle w:val="66"/>
        <w:rPr>
          <w:color w:val="000000"/>
        </w:rPr>
      </w:pPr>
      <w:r>
        <w:rPr>
          <w:rFonts w:hint="eastAsia"/>
          <w:color w:val="000000"/>
        </w:rPr>
        <w:t>试运行结束后，配合工程启动验收委员会组织签署相关签证，办理资产验收交接工作。</w:t>
      </w:r>
    </w:p>
    <w:p w14:paraId="3814183E">
      <w:pPr>
        <w:pStyle w:val="58"/>
        <w:spacing w:before="120" w:after="120"/>
        <w:rPr>
          <w:color w:val="000000"/>
        </w:rPr>
      </w:pPr>
      <w:r>
        <w:rPr>
          <w:rFonts w:hint="eastAsia"/>
          <w:color w:val="000000"/>
        </w:rPr>
        <w:t>质量保修主要咨询工作</w:t>
      </w:r>
    </w:p>
    <w:p w14:paraId="211B3119">
      <w:pPr>
        <w:pStyle w:val="66"/>
        <w:rPr>
          <w:color w:val="000000"/>
        </w:rPr>
      </w:pPr>
      <w:r>
        <w:rPr>
          <w:rFonts w:hint="eastAsia"/>
          <w:color w:val="000000"/>
        </w:rPr>
        <w:t>启动验收合格后，组织办理保修手续。保修期内，组织参建单位对运维检修单位提出的缺陷进行检查、调查分析，确定责任归属；组织参建单位和运维检修单位审查缺陷处理方案，并督促实施。</w:t>
      </w:r>
    </w:p>
    <w:p w14:paraId="42F237AA">
      <w:pPr>
        <w:pStyle w:val="66"/>
        <w:rPr>
          <w:color w:val="000000"/>
        </w:rPr>
      </w:pPr>
      <w:r>
        <w:rPr>
          <w:rFonts w:hint="eastAsia"/>
          <w:color w:val="000000"/>
        </w:rPr>
        <w:t>缺陷责任期满并收到运维检修单位出具的无缺陷书面文件后，签发缺陷责任期终止证书。</w:t>
      </w:r>
    </w:p>
    <w:p w14:paraId="43A8F915">
      <w:pPr>
        <w:pStyle w:val="58"/>
        <w:spacing w:before="120" w:after="120"/>
        <w:rPr>
          <w:color w:val="000000"/>
        </w:rPr>
      </w:pPr>
      <w:r>
        <w:rPr>
          <w:rFonts w:hint="eastAsia"/>
          <w:color w:val="000000"/>
        </w:rPr>
        <w:t>竣工结算、决算主要咨询工作</w:t>
      </w:r>
    </w:p>
    <w:p w14:paraId="2F99DC0B">
      <w:pPr>
        <w:pStyle w:val="66"/>
        <w:rPr>
          <w:color w:val="000000"/>
        </w:rPr>
      </w:pPr>
      <w:r>
        <w:rPr>
          <w:rFonts w:hint="eastAsia"/>
          <w:color w:val="000000"/>
        </w:rPr>
        <w:t>组织召开结算会议，对项目费用进行梳理，明确相关事项处理方案，督促相关部门办理结算。</w:t>
      </w:r>
    </w:p>
    <w:p w14:paraId="69ED2DA6">
      <w:pPr>
        <w:pStyle w:val="66"/>
        <w:rPr>
          <w:color w:val="000000"/>
        </w:rPr>
      </w:pPr>
      <w:r>
        <w:rPr>
          <w:rFonts w:hint="eastAsia"/>
          <w:color w:val="000000"/>
        </w:rPr>
        <w:t>收集竣工结算资料，对结算资料进行预审，编制工程竣工总结算报建设单位审批。</w:t>
      </w:r>
    </w:p>
    <w:p w14:paraId="738D9BF1">
      <w:pPr>
        <w:pStyle w:val="66"/>
        <w:rPr>
          <w:color w:val="000000"/>
        </w:rPr>
      </w:pPr>
      <w:r>
        <w:rPr>
          <w:rFonts w:hint="eastAsia"/>
          <w:color w:val="000000"/>
        </w:rPr>
        <w:t>配合建设单位完成竣工结算、决算审计工作。</w:t>
      </w:r>
    </w:p>
    <w:p w14:paraId="1843B563">
      <w:pPr>
        <w:pStyle w:val="58"/>
        <w:spacing w:before="120" w:after="120"/>
        <w:rPr>
          <w:color w:val="000000"/>
        </w:rPr>
      </w:pPr>
      <w:r>
        <w:rPr>
          <w:rFonts w:hint="eastAsia"/>
          <w:color w:val="000000"/>
        </w:rPr>
        <w:t>竣工验收主要咨询工作</w:t>
      </w:r>
    </w:p>
    <w:p w14:paraId="3F87FB1B">
      <w:pPr>
        <w:pStyle w:val="66"/>
        <w:rPr>
          <w:color w:val="000000"/>
        </w:rPr>
      </w:pPr>
      <w:r>
        <w:rPr>
          <w:rFonts w:hint="eastAsia"/>
          <w:color w:val="000000"/>
        </w:rPr>
        <w:t>在竣工决算之前，协助完成档案、职业安全卫生、防雷、消防等专项验收。</w:t>
      </w:r>
    </w:p>
    <w:p w14:paraId="7434394E">
      <w:pPr>
        <w:pStyle w:val="66"/>
        <w:rPr>
          <w:color w:val="000000"/>
        </w:rPr>
      </w:pPr>
      <w:r>
        <w:rPr>
          <w:rFonts w:hint="eastAsia"/>
          <w:color w:val="000000"/>
        </w:rPr>
        <w:t>协助完成环保设施竣工验收监测，确保各项环保设施运行正常、污染物排放达标。</w:t>
      </w:r>
    </w:p>
    <w:p w14:paraId="2898F103">
      <w:pPr>
        <w:pStyle w:val="66"/>
        <w:rPr>
          <w:color w:val="000000"/>
        </w:rPr>
      </w:pPr>
      <w:r>
        <w:rPr>
          <w:rFonts w:hint="eastAsia"/>
          <w:color w:val="000000"/>
        </w:rPr>
        <w:t>协助完成不动产权证办理。</w:t>
      </w:r>
    </w:p>
    <w:p w14:paraId="5AE1C2D4">
      <w:pPr>
        <w:pStyle w:val="66"/>
        <w:rPr>
          <w:color w:val="000000"/>
        </w:rPr>
      </w:pPr>
      <w:r>
        <w:rPr>
          <w:rFonts w:hint="eastAsia"/>
          <w:color w:val="000000"/>
        </w:rPr>
        <w:t>协助完成竣工验收。</w:t>
      </w:r>
    </w:p>
    <w:p w14:paraId="0097A60D">
      <w:pPr>
        <w:pStyle w:val="66"/>
        <w:spacing w:line="360" w:lineRule="auto"/>
        <w:rPr>
          <w:color w:val="000000"/>
        </w:rPr>
      </w:pPr>
      <w:r>
        <w:rPr>
          <w:rFonts w:hint="eastAsia"/>
          <w:color w:val="000000"/>
        </w:rPr>
        <w:t>海上光伏重点协调测试海缆传输稳定性、系统抗台风或雷电干扰能力，确保极端天气下并网安全。</w:t>
      </w:r>
    </w:p>
    <w:p w14:paraId="7CDE4606">
      <w:pPr>
        <w:pStyle w:val="66"/>
        <w:spacing w:line="360" w:lineRule="auto"/>
        <w:rPr>
          <w:color w:val="000000"/>
        </w:rPr>
      </w:pPr>
      <w:r>
        <w:rPr>
          <w:rFonts w:hint="eastAsia"/>
          <w:color w:val="000000"/>
        </w:rPr>
        <w:t>协助办理海事部门验收备案，提交海上施工环保验收报告、海缆路由使用证明等，确保项目合法占用海域资源。</w:t>
      </w:r>
    </w:p>
    <w:p w14:paraId="07D9E7E2">
      <w:pPr>
        <w:pStyle w:val="58"/>
        <w:spacing w:before="120" w:after="120"/>
        <w:rPr>
          <w:color w:val="000000"/>
        </w:rPr>
      </w:pPr>
      <w:r>
        <w:rPr>
          <w:rFonts w:hint="eastAsia"/>
          <w:color w:val="000000"/>
        </w:rPr>
        <w:t>工程达标投产及工程质量提升主要咨询工作</w:t>
      </w:r>
    </w:p>
    <w:p w14:paraId="290BA00D">
      <w:pPr>
        <w:pStyle w:val="66"/>
        <w:rPr>
          <w:color w:val="000000"/>
        </w:rPr>
      </w:pPr>
      <w:r>
        <w:rPr>
          <w:rFonts w:hint="eastAsia"/>
          <w:color w:val="000000"/>
        </w:rPr>
        <w:t>组织开展达标投产初验，配合达标投产验收。</w:t>
      </w:r>
    </w:p>
    <w:p w14:paraId="6191EACB">
      <w:pPr>
        <w:pStyle w:val="66"/>
        <w:rPr>
          <w:color w:val="000000"/>
        </w:rPr>
      </w:pPr>
      <w:r>
        <w:rPr>
          <w:rFonts w:hint="eastAsia"/>
          <w:color w:val="000000"/>
        </w:rPr>
        <w:t>按合同要求组织开展优质工程的自检、申报和迎检工作。</w:t>
      </w:r>
    </w:p>
    <w:p w14:paraId="09AAF7D8">
      <w:pPr>
        <w:pStyle w:val="58"/>
        <w:spacing w:before="120" w:after="120"/>
        <w:rPr>
          <w:color w:val="000000"/>
        </w:rPr>
      </w:pPr>
      <w:r>
        <w:rPr>
          <w:rFonts w:hint="eastAsia"/>
          <w:color w:val="000000"/>
        </w:rPr>
        <w:t>工程总结评价主要咨询工作</w:t>
      </w:r>
    </w:p>
    <w:p w14:paraId="47BD2516">
      <w:pPr>
        <w:pStyle w:val="66"/>
        <w:rPr>
          <w:color w:val="000000"/>
        </w:rPr>
      </w:pPr>
      <w:r>
        <w:rPr>
          <w:rFonts w:hint="eastAsia"/>
          <w:color w:val="000000"/>
        </w:rPr>
        <w:t>工程竣工验收后，编写全过程工程咨询总结报告。</w:t>
      </w:r>
    </w:p>
    <w:p w14:paraId="5DF83B85">
      <w:pPr>
        <w:pStyle w:val="66"/>
        <w:rPr>
          <w:color w:val="000000"/>
        </w:rPr>
      </w:pPr>
      <w:r>
        <w:rPr>
          <w:rFonts w:hint="eastAsia"/>
          <w:color w:val="000000"/>
        </w:rPr>
        <w:t>组织参建单位编写工程总结。</w:t>
      </w:r>
    </w:p>
    <w:p w14:paraId="3D61C042">
      <w:pPr>
        <w:pStyle w:val="66"/>
        <w:rPr>
          <w:color w:val="000000"/>
        </w:rPr>
      </w:pPr>
      <w:r>
        <w:rPr>
          <w:rFonts w:hint="eastAsia"/>
          <w:color w:val="000000"/>
        </w:rPr>
        <w:t>对设备制造单位进行全过程评价。</w:t>
      </w:r>
    </w:p>
    <w:p w14:paraId="5769FF7C">
      <w:pPr>
        <w:pStyle w:val="66"/>
        <w:rPr>
          <w:color w:val="000000"/>
        </w:rPr>
      </w:pPr>
      <w:r>
        <w:rPr>
          <w:rFonts w:hint="eastAsia"/>
          <w:color w:val="000000"/>
        </w:rPr>
        <w:t>按合同约定开展项目后评价活动，服务内容包含但不限于以下：</w:t>
      </w:r>
    </w:p>
    <w:p w14:paraId="1579CB1A">
      <w:pPr>
        <w:pStyle w:val="65"/>
        <w:numPr>
          <w:ilvl w:val="0"/>
          <w:numId w:val="17"/>
        </w:numPr>
        <w:tabs>
          <w:tab w:val="clear" w:pos="851"/>
        </w:tabs>
        <w:rPr>
          <w:rFonts w:hint="eastAsia"/>
          <w:color w:val="000000"/>
        </w:rPr>
      </w:pPr>
      <w:r>
        <w:rPr>
          <w:rFonts w:hint="eastAsia"/>
          <w:color w:val="000000"/>
        </w:rPr>
        <w:t>进行发电量评估，对比实际发电量与可研预测值，偏差超 10% 时应进行原因分析；</w:t>
      </w:r>
    </w:p>
    <w:p w14:paraId="6CAFC368">
      <w:pPr>
        <w:pStyle w:val="65"/>
        <w:numPr>
          <w:ilvl w:val="0"/>
          <w:numId w:val="17"/>
        </w:numPr>
        <w:tabs>
          <w:tab w:val="clear" w:pos="851"/>
        </w:tabs>
        <w:rPr>
          <w:rFonts w:hint="eastAsia"/>
          <w:color w:val="000000"/>
        </w:rPr>
      </w:pPr>
      <w:r>
        <w:rPr>
          <w:rFonts w:hint="eastAsia"/>
          <w:color w:val="000000"/>
        </w:rPr>
        <w:t>跟踪系统效益评估，计算跟踪系统提升发电量比例，未达预期时应优化跟踪算法；</w:t>
      </w:r>
    </w:p>
    <w:p w14:paraId="26FD8E54">
      <w:pPr>
        <w:pStyle w:val="65"/>
        <w:numPr>
          <w:ilvl w:val="0"/>
          <w:numId w:val="17"/>
        </w:numPr>
        <w:tabs>
          <w:tab w:val="clear" w:pos="851"/>
        </w:tabs>
        <w:rPr>
          <w:rFonts w:hint="eastAsia"/>
          <w:color w:val="000000"/>
        </w:rPr>
      </w:pPr>
      <w:r>
        <w:rPr>
          <w:rFonts w:hint="eastAsia"/>
          <w:color w:val="000000"/>
        </w:rPr>
        <w:t>开展生态效益评估相关工作，核查土地复垦率、植被恢复情况，确保符合水土保持验收要求；</w:t>
      </w:r>
    </w:p>
    <w:p w14:paraId="453C0911">
      <w:pPr>
        <w:pStyle w:val="65"/>
        <w:numPr>
          <w:ilvl w:val="0"/>
          <w:numId w:val="17"/>
        </w:numPr>
        <w:tabs>
          <w:tab w:val="clear" w:pos="851"/>
        </w:tabs>
        <w:rPr>
          <w:rFonts w:hint="eastAsia"/>
          <w:color w:val="000000"/>
        </w:rPr>
      </w:pPr>
      <w:r>
        <w:rPr>
          <w:rFonts w:hint="eastAsia"/>
          <w:color w:val="000000"/>
        </w:rPr>
        <w:t>参照光伏组件相关回收利用通用技术要求制定组件报废后回收方案，明确回收流程与责任主体</w:t>
      </w:r>
      <w:r>
        <w:rPr>
          <w:rFonts w:hint="eastAsia" w:ascii="宋体" w:hAnsi="Times New Roman" w:eastAsia="宋体" w:cs="Times New Roman"/>
          <w:color w:val="000000"/>
          <w:lang w:eastAsia="zh-CN"/>
        </w:rPr>
        <w:t>；</w:t>
      </w:r>
    </w:p>
    <w:p w14:paraId="23C70C77">
      <w:pPr>
        <w:pStyle w:val="65"/>
        <w:numPr>
          <w:ilvl w:val="0"/>
          <w:numId w:val="17"/>
        </w:numPr>
        <w:rPr>
          <w:rFonts w:hint="eastAsia" w:ascii="宋体" w:hAnsi="Times New Roman" w:eastAsia="宋体" w:cs="Times New Roman"/>
          <w:color w:val="000000"/>
        </w:rPr>
      </w:pPr>
      <w:r>
        <w:rPr>
          <w:rFonts w:hint="eastAsia"/>
          <w:color w:val="000000"/>
        </w:rPr>
        <w:t>参照GB/T 39753等标准，制定组件报废后回收方案，明确回收流程与责任主体；</w:t>
      </w:r>
    </w:p>
    <w:p w14:paraId="169F83BA">
      <w:pPr>
        <w:pStyle w:val="65"/>
        <w:numPr>
          <w:ilvl w:val="0"/>
          <w:numId w:val="17"/>
        </w:numPr>
        <w:tabs>
          <w:tab w:val="clear" w:pos="851"/>
        </w:tabs>
        <w:rPr>
          <w:rFonts w:hint="eastAsia"/>
          <w:color w:val="000000"/>
        </w:rPr>
      </w:pPr>
      <w:r>
        <w:rPr>
          <w:rFonts w:hint="eastAsia"/>
          <w:color w:val="000000"/>
        </w:rPr>
        <w:t>对项目全生命周期的环境保护工作进行总结评价，形成环境保护工作总结报告。</w:t>
      </w:r>
      <w:bookmarkEnd w:id="158"/>
      <w:bookmarkEnd w:id="159"/>
      <w:bookmarkEnd w:id="160"/>
      <w:bookmarkEnd w:id="161"/>
      <w:bookmarkEnd w:id="162"/>
      <w:bookmarkEnd w:id="163"/>
      <w:bookmarkEnd w:id="164"/>
      <w:bookmarkEnd w:id="165"/>
    </w:p>
    <w:p w14:paraId="7EB7129B">
      <w:pPr>
        <w:pStyle w:val="49"/>
        <w:spacing w:before="240" w:after="240"/>
        <w:rPr>
          <w:color w:val="auto"/>
          <w:highlight w:val="none"/>
        </w:rPr>
      </w:pPr>
      <w:bookmarkStart w:id="169" w:name="_Toc5523"/>
      <w:bookmarkStart w:id="170" w:name="_Toc20703"/>
      <w:bookmarkStart w:id="171" w:name="_Toc155604560"/>
      <w:bookmarkStart w:id="172" w:name="_Toc155628784"/>
      <w:bookmarkStart w:id="173" w:name="_Toc155714280"/>
      <w:bookmarkStart w:id="174" w:name="_Toc14151"/>
      <w:bookmarkStart w:id="175" w:name="_Toc9493"/>
      <w:bookmarkStart w:id="176" w:name="_Toc155628721"/>
      <w:bookmarkStart w:id="177" w:name="_Toc154138728"/>
      <w:bookmarkStart w:id="178" w:name="_Toc154147178"/>
      <w:bookmarkStart w:id="179" w:name="_Toc154147203"/>
      <w:bookmarkStart w:id="180" w:name="_Toc11229"/>
      <w:bookmarkStart w:id="181" w:name="_Toc155714340"/>
      <w:bookmarkStart w:id="182" w:name="_Toc154148938"/>
      <w:bookmarkStart w:id="183" w:name="_Toc154146185"/>
      <w:bookmarkStart w:id="184" w:name="_Toc8521"/>
      <w:bookmarkStart w:id="185" w:name="_Toc155714308"/>
      <w:bookmarkStart w:id="186" w:name="_Toc155628812"/>
      <w:bookmarkStart w:id="187" w:name="_Toc155604588"/>
      <w:bookmarkStart w:id="188" w:name="_Toc155714368"/>
      <w:bookmarkStart w:id="189" w:name="_Toc155628749"/>
      <w:r>
        <w:rPr>
          <w:rFonts w:hint="eastAsia"/>
          <w:color w:val="auto"/>
          <w:highlight w:val="none"/>
        </w:rPr>
        <w:t>投资决策咨询</w:t>
      </w:r>
      <w:bookmarkEnd w:id="169"/>
    </w:p>
    <w:p w14:paraId="3EBA454D">
      <w:pPr>
        <w:pStyle w:val="51"/>
        <w:spacing w:before="120" w:after="120"/>
        <w:rPr>
          <w:color w:val="auto"/>
          <w:highlight w:val="none"/>
        </w:rPr>
      </w:pPr>
      <w:bookmarkStart w:id="190" w:name="_Toc26663"/>
      <w:r>
        <w:rPr>
          <w:rFonts w:hint="eastAsia"/>
          <w:color w:val="auto"/>
          <w:highlight w:val="none"/>
        </w:rPr>
        <w:t>一般规定</w:t>
      </w:r>
      <w:bookmarkEnd w:id="190"/>
    </w:p>
    <w:p w14:paraId="4AC8E7D3">
      <w:pPr>
        <w:pStyle w:val="32"/>
        <w:ind w:left="0" w:leftChars="0" w:firstLine="0" w:firstLineChars="0"/>
        <w:rPr>
          <w:rFonts w:hint="eastAsia"/>
          <w:color w:val="auto"/>
          <w:highlight w:val="none"/>
        </w:rPr>
      </w:pPr>
      <w:r>
        <w:rPr>
          <w:rFonts w:hint="eastAsia"/>
          <w:color w:val="auto"/>
          <w:highlight w:val="none"/>
          <w:lang w:val="en-US" w:eastAsia="zh-CN"/>
        </w:rPr>
        <w:t>8.1.1投资决策咨询服务，主要包含投资立项阶段项目建议书编制、工程可行性研究报告编制两大核心文件编制工作；同步配套开展项目投资风险全面评估并制定专项风险化解方案，对场区建构筑物、屋面等载体开展结构荷载初步复核计算，编制多元化项目融资方案，测算项目全生命周期绿电发电量、绿证收益及碳排放减量数据，综合技术、经济、风险、收益各项指标，出具专业投资决策建议。</w:t>
      </w:r>
    </w:p>
    <w:p w14:paraId="45CE7C08">
      <w:pPr>
        <w:pStyle w:val="57"/>
        <w:numPr>
          <w:ilvl w:val="0"/>
          <w:numId w:val="0"/>
        </w:numPr>
        <w:ind w:leftChars="0"/>
        <w:rPr>
          <w:rFonts w:hint="eastAsia"/>
          <w:color w:val="auto"/>
          <w:highlight w:val="none"/>
        </w:rPr>
      </w:pPr>
      <w:r>
        <w:rPr>
          <w:rFonts w:hint="eastAsia"/>
          <w:color w:val="auto"/>
          <w:highlight w:val="none"/>
          <w:lang w:val="en-US" w:eastAsia="zh-CN"/>
        </w:rPr>
        <w:t>8.1.2</w:t>
      </w:r>
      <w:r>
        <w:rPr>
          <w:rFonts w:hint="eastAsia"/>
          <w:color w:val="auto"/>
          <w:highlight w:val="none"/>
        </w:rPr>
        <w:t>在投资决策咨询工作各阶段应协助建设单位编制符合要求的成果文件，及时向建设单位汇报阶段成果，为项目投资决策提供投资建议和依据。</w:t>
      </w:r>
    </w:p>
    <w:p w14:paraId="3BF6508E">
      <w:pPr>
        <w:pStyle w:val="51"/>
        <w:spacing w:before="120" w:after="120"/>
        <w:rPr>
          <w:color w:val="auto"/>
          <w:highlight w:val="none"/>
        </w:rPr>
      </w:pPr>
      <w:bookmarkStart w:id="191" w:name="_Toc4131"/>
      <w:r>
        <w:rPr>
          <w:rFonts w:hint="eastAsia"/>
          <w:color w:val="auto"/>
          <w:highlight w:val="none"/>
        </w:rPr>
        <w:t>投资决策咨询主要工作</w:t>
      </w:r>
      <w:bookmarkEnd w:id="191"/>
    </w:p>
    <w:p w14:paraId="3E23B36A">
      <w:pPr>
        <w:pStyle w:val="57"/>
        <w:rPr>
          <w:color w:val="auto"/>
          <w:highlight w:val="none"/>
        </w:rPr>
      </w:pPr>
      <w:r>
        <w:rPr>
          <w:rFonts w:hint="eastAsia"/>
          <w:color w:val="auto"/>
          <w:highlight w:val="none"/>
        </w:rPr>
        <w:t>项目建议书的深度、符合性主要内容包括：</w:t>
      </w:r>
    </w:p>
    <w:p w14:paraId="1330357D">
      <w:pPr>
        <w:pStyle w:val="65"/>
        <w:numPr>
          <w:ilvl w:val="0"/>
          <w:numId w:val="18"/>
        </w:numPr>
        <w:rPr>
          <w:rFonts w:hint="eastAsia"/>
          <w:color w:val="auto"/>
          <w:highlight w:val="none"/>
        </w:rPr>
      </w:pPr>
      <w:r>
        <w:rPr>
          <w:rFonts w:hint="eastAsia" w:hAnsi="Times New Roman" w:eastAsia="宋体" w:cs="Times New Roman"/>
          <w:color w:val="000000"/>
          <w:highlight w:val="none"/>
        </w:rPr>
        <w:t>结合项目场址初步光伏资源发电量预估、土地利用性质、场地产权权属、建筑屋顶结构类型及现状、区域社会经济条件等核心要素，综合研判项目建设必要性与初步可行性。海上光伏发电工程需额外结合区域水文条件、航道规划、军事管控要求等专项条件，全面研判项目建设可行性与场址适配性</w:t>
      </w:r>
      <w:r>
        <w:rPr>
          <w:rFonts w:hint="eastAsia" w:hAnsi="Times New Roman" w:eastAsia="宋体" w:cs="Times New Roman"/>
          <w:color w:val="000000"/>
          <w:highlight w:val="none"/>
          <w:lang w:eastAsia="zh-CN"/>
        </w:rPr>
        <w:t>；</w:t>
      </w:r>
    </w:p>
    <w:p w14:paraId="09282A5F">
      <w:pPr>
        <w:pStyle w:val="65"/>
        <w:numPr>
          <w:ilvl w:val="0"/>
          <w:numId w:val="18"/>
        </w:numPr>
        <w:rPr>
          <w:rFonts w:hint="eastAsia"/>
          <w:color w:val="000000"/>
          <w:highlight w:val="none"/>
        </w:rPr>
      </w:pPr>
      <w:r>
        <w:rPr>
          <w:rFonts w:hint="eastAsia" w:hAnsi="Times New Roman" w:eastAsia="宋体" w:cs="Times New Roman"/>
          <w:color w:val="000000"/>
          <w:highlight w:val="none"/>
        </w:rPr>
        <w:t>核查项目拟采用的电价结算模式、电力消纳路径、项目核准及备案流程，确保项目建设、运营全流程符合现行行业政策、地方监管要求及市场准入标准</w:t>
      </w:r>
      <w:r>
        <w:rPr>
          <w:rFonts w:hint="eastAsia"/>
          <w:color w:val="000000"/>
          <w:highlight w:val="none"/>
          <w:lang w:eastAsia="zh-CN"/>
        </w:rPr>
        <w:t>；</w:t>
      </w:r>
    </w:p>
    <w:p w14:paraId="1B00AA08">
      <w:pPr>
        <w:pStyle w:val="65"/>
        <w:numPr>
          <w:ilvl w:val="0"/>
          <w:numId w:val="18"/>
        </w:numPr>
        <w:rPr>
          <w:rFonts w:hint="eastAsia"/>
          <w:color w:val="000000"/>
          <w:highlight w:val="none"/>
        </w:rPr>
      </w:pPr>
      <w:r>
        <w:rPr>
          <w:rFonts w:hint="eastAsia" w:hAnsi="Times New Roman" w:eastAsia="宋体" w:cs="Times New Roman"/>
          <w:color w:val="000000"/>
          <w:highlight w:val="none"/>
        </w:rPr>
        <w:t>结合场址条件、应用场景及行业通用技术标准，初步确定项目总体建设方案、装机规模、系统形式等核心技术方案框架</w:t>
      </w:r>
      <w:r>
        <w:rPr>
          <w:rFonts w:hint="eastAsia"/>
          <w:color w:val="000000"/>
          <w:highlight w:val="none"/>
          <w:lang w:eastAsia="zh-CN"/>
        </w:rPr>
        <w:t>；</w:t>
      </w:r>
    </w:p>
    <w:p w14:paraId="12E05D75">
      <w:pPr>
        <w:pStyle w:val="65"/>
        <w:numPr>
          <w:ilvl w:val="0"/>
          <w:numId w:val="18"/>
        </w:numPr>
        <w:rPr>
          <w:rFonts w:hint="eastAsia"/>
          <w:color w:val="000000"/>
          <w:highlight w:val="none"/>
        </w:rPr>
      </w:pPr>
      <w:r>
        <w:rPr>
          <w:rFonts w:hint="eastAsia" w:hAnsi="Times New Roman" w:eastAsia="宋体" w:cs="Times New Roman"/>
          <w:color w:val="000000"/>
          <w:highlight w:val="none"/>
        </w:rPr>
        <w:t>按照行业宏观估算标准，以瓦、千瓦为基础单位开展项目整体投资匡算，形成初步投资规模预判，为项目立项初审提供数据支撑</w:t>
      </w:r>
      <w:r>
        <w:rPr>
          <w:rFonts w:hint="eastAsia"/>
          <w:color w:val="000000"/>
          <w:highlight w:val="none"/>
        </w:rPr>
        <w:t>。</w:t>
      </w:r>
    </w:p>
    <w:p w14:paraId="09E1E152">
      <w:pPr>
        <w:pStyle w:val="57"/>
        <w:rPr>
          <w:color w:val="000000"/>
          <w:highlight w:val="none"/>
        </w:rPr>
      </w:pPr>
      <w:r>
        <w:rPr>
          <w:rFonts w:hint="eastAsia"/>
          <w:color w:val="000000"/>
          <w:highlight w:val="none"/>
        </w:rPr>
        <w:t>可行性研究报告的深度、符合性主要内容包括：</w:t>
      </w:r>
    </w:p>
    <w:p w14:paraId="7C16C386">
      <w:pPr>
        <w:pStyle w:val="65"/>
        <w:numPr>
          <w:ilvl w:val="0"/>
          <w:numId w:val="19"/>
        </w:numPr>
        <w:rPr>
          <w:color w:val="000000"/>
          <w:highlight w:val="none"/>
        </w:rPr>
      </w:pPr>
      <w:r>
        <w:rPr>
          <w:rFonts w:hint="eastAsia" w:hAnsi="Times New Roman" w:eastAsia="宋体" w:cs="Times New Roman"/>
          <w:color w:val="000000"/>
          <w:highlight w:val="none"/>
        </w:rPr>
        <w:t>依托精细化光伏资源数据开展全年发电量模拟测算，完成光伏组件、逆变器、支架系统等核心设备选型优化，明确项目并网接入方案、电气系统配置方案，核算系统综合发电效率，全面完成项目技术可行性论证。海上光伏发电工程需进一步针对海上支撑结构体系、海洋防腐、海洋生物附着防护、海上专项施工工艺、海洋气象施工窗口期等关键内容开展深度专项分析，完善海上工程建设可行性论证</w:t>
      </w:r>
      <w:r>
        <w:rPr>
          <w:rFonts w:hint="eastAsia"/>
          <w:color w:val="000000"/>
          <w:highlight w:val="none"/>
        </w:rPr>
        <w:t>；</w:t>
      </w:r>
    </w:p>
    <w:p w14:paraId="504811A7">
      <w:pPr>
        <w:pStyle w:val="65"/>
        <w:numPr>
          <w:ilvl w:val="0"/>
          <w:numId w:val="19"/>
        </w:numPr>
        <w:rPr>
          <w:color w:val="000000"/>
          <w:highlight w:val="none"/>
        </w:rPr>
      </w:pPr>
      <w:r>
        <w:rPr>
          <w:rFonts w:hint="eastAsia" w:hAnsi="Times New Roman" w:eastAsia="宋体" w:cs="Times New Roman"/>
          <w:color w:val="000000"/>
          <w:highlight w:val="none"/>
        </w:rPr>
        <w:t>精准完成项目静态投资、动态投资、建设期费用及全生命周期运营成本估算，结合发电量、电价政策、补贴政策、绿电绿证收益等开展营业收入精准测算，通过财务内部收益率、投资回收期、净现值等指标完成系统性财务评价，科学判定项目经济可行性与投资价值</w:t>
      </w:r>
      <w:r>
        <w:rPr>
          <w:rFonts w:hint="eastAsia"/>
          <w:color w:val="000000"/>
          <w:highlight w:val="none"/>
        </w:rPr>
        <w:t>；</w:t>
      </w:r>
    </w:p>
    <w:p w14:paraId="15A96042">
      <w:pPr>
        <w:pStyle w:val="65"/>
        <w:numPr>
          <w:ilvl w:val="0"/>
          <w:numId w:val="19"/>
        </w:numPr>
        <w:rPr>
          <w:color w:val="000000"/>
          <w:highlight w:val="none"/>
        </w:rPr>
      </w:pPr>
      <w:r>
        <w:rPr>
          <w:rFonts w:hint="eastAsia" w:hAnsi="Times New Roman" w:eastAsia="宋体" w:cs="Times New Roman"/>
          <w:color w:val="000000"/>
          <w:highlight w:val="none"/>
        </w:rPr>
        <w:t>全面核查项目场址用地、用海、建筑权属、规划许可等前置条件，逐项核实项目建设合规性，确保场址选址、建设范围、开发模式符合国土、住建、海洋、环保等相关法律法规及规划要求</w:t>
      </w:r>
      <w:r>
        <w:rPr>
          <w:rFonts w:hint="eastAsia"/>
          <w:color w:val="000000"/>
          <w:highlight w:val="none"/>
        </w:rPr>
        <w:t>。</w:t>
      </w:r>
    </w:p>
    <w:p w14:paraId="7AE7B89B">
      <w:pPr>
        <w:pStyle w:val="65"/>
        <w:numPr>
          <w:ilvl w:val="0"/>
          <w:numId w:val="0"/>
        </w:numPr>
        <w:ind w:left="420" w:hanging="420" w:hangingChars="200"/>
        <w:rPr>
          <w:rFonts w:hint="eastAsia" w:hAnsi="Times New Roman" w:eastAsia="宋体" w:cs="Times New Roman"/>
          <w:color w:val="000000"/>
          <w:sz w:val="21"/>
          <w:highlight w:val="none"/>
          <w:lang w:val="en-US" w:eastAsia="zh-CN" w:bidi="ar-SA"/>
        </w:rPr>
      </w:pPr>
      <w:r>
        <w:rPr>
          <w:rFonts w:hint="eastAsia"/>
          <w:color w:val="000000"/>
          <w:highlight w:val="none"/>
          <w:lang w:val="en-US" w:eastAsia="zh-CN"/>
        </w:rPr>
        <w:t xml:space="preserve">8.2.3 </w:t>
      </w:r>
      <w:r>
        <w:rPr>
          <w:rFonts w:hint="eastAsia" w:ascii="宋体" w:hAnsi="Times New Roman" w:eastAsia="宋体" w:cs="Times New Roman"/>
          <w:color w:val="000000"/>
          <w:sz w:val="21"/>
          <w:highlight w:val="none"/>
          <w:lang w:val="en-US" w:eastAsia="zh-CN" w:bidi="ar-SA"/>
        </w:rPr>
        <w:t>结构荷载初步复核计算</w:t>
      </w:r>
      <w:r>
        <w:rPr>
          <w:rFonts w:hint="eastAsia" w:hAnsi="Times New Roman" w:eastAsia="宋体" w:cs="Times New Roman"/>
          <w:color w:val="000000"/>
          <w:sz w:val="21"/>
          <w:highlight w:val="none"/>
          <w:lang w:val="en-US" w:eastAsia="zh-CN" w:bidi="ar-SA"/>
        </w:rPr>
        <w:t>的</w:t>
      </w:r>
      <w:r>
        <w:rPr>
          <w:rFonts w:hint="eastAsia" w:ascii="宋体" w:hAnsi="Times New Roman" w:eastAsia="宋体" w:cs="Times New Roman"/>
          <w:color w:val="000000"/>
          <w:sz w:val="21"/>
          <w:highlight w:val="none"/>
          <w:lang w:val="en-US" w:eastAsia="zh-CN" w:bidi="ar-SA"/>
        </w:rPr>
        <w:t>深度、符合性主要内容</w:t>
      </w:r>
      <w:r>
        <w:rPr>
          <w:rFonts w:hint="eastAsia" w:hAnsi="Times New Roman" w:eastAsia="宋体" w:cs="Times New Roman"/>
          <w:color w:val="000000"/>
          <w:sz w:val="21"/>
          <w:highlight w:val="none"/>
          <w:lang w:val="en-US" w:eastAsia="zh-CN" w:bidi="ar-SA"/>
        </w:rPr>
        <w:t>包括：</w:t>
      </w:r>
    </w:p>
    <w:p w14:paraId="1CCCA34A">
      <w:pPr>
        <w:pStyle w:val="65"/>
        <w:numPr>
          <w:ilvl w:val="0"/>
          <w:numId w:val="20"/>
        </w:numPr>
        <w:tabs>
          <w:tab w:val="clear" w:pos="851"/>
        </w:tabs>
        <w:ind w:left="840" w:leftChars="200" w:hanging="420" w:hangingChars="200"/>
        <w:rPr>
          <w:rFonts w:hint="eastAsia" w:ascii="宋体" w:hAnsi="Times New Roman" w:eastAsia="宋体" w:cs="Times New Roman"/>
          <w:color w:val="000000"/>
          <w:highlight w:val="none"/>
        </w:rPr>
      </w:pPr>
      <w:r>
        <w:rPr>
          <w:rFonts w:hint="eastAsia" w:hAnsi="Times New Roman" w:eastAsia="宋体" w:cs="Times New Roman"/>
          <w:color w:val="000000"/>
          <w:highlight w:val="none"/>
        </w:rPr>
        <w:t>针对分布式光伏、屋顶光伏项目场区既有建构筑物、屋面主体结构、梁柱承重体系、女儿墙及附属承载构件开展初步荷载复核验算，全面摸排屋面结构年限、结构破损、腐蚀、沉降等现状隐患</w:t>
      </w:r>
      <w:r>
        <w:rPr>
          <w:rFonts w:hint="eastAsia" w:ascii="宋体" w:hAnsi="Times New Roman" w:eastAsia="宋体" w:cs="Times New Roman"/>
          <w:color w:val="000000"/>
          <w:highlight w:val="none"/>
          <w:lang w:eastAsia="zh-CN"/>
        </w:rPr>
        <w:t>；</w:t>
      </w:r>
    </w:p>
    <w:p w14:paraId="545A83E2">
      <w:pPr>
        <w:pStyle w:val="65"/>
        <w:numPr>
          <w:ilvl w:val="0"/>
          <w:numId w:val="20"/>
        </w:numPr>
        <w:tabs>
          <w:tab w:val="clear" w:pos="851"/>
        </w:tabs>
        <w:ind w:left="840" w:leftChars="200" w:hanging="420" w:hangingChars="200"/>
        <w:rPr>
          <w:rFonts w:hint="eastAsia" w:ascii="宋体" w:hAnsi="Times New Roman" w:eastAsia="宋体" w:cs="Times New Roman"/>
          <w:color w:val="000000"/>
          <w:highlight w:val="none"/>
        </w:rPr>
      </w:pPr>
      <w:r>
        <w:rPr>
          <w:rFonts w:hint="eastAsia" w:hAnsi="Times New Roman" w:eastAsia="宋体" w:cs="Times New Roman"/>
          <w:color w:val="000000"/>
          <w:highlight w:val="none"/>
        </w:rPr>
        <w:t>依据现行建筑结构荷载规范，叠加光伏组件、支架、检修荷载、风荷载、雪荷载、积灰荷载等新增荷载，复核原有结构承载力、稳定性及安全冗余，判定既有载体是否满足光伏加装建设条件</w:t>
      </w:r>
      <w:r>
        <w:rPr>
          <w:rFonts w:hint="eastAsia" w:ascii="宋体" w:hAnsi="Times New Roman" w:eastAsia="宋体" w:cs="Times New Roman"/>
          <w:color w:val="000000"/>
          <w:highlight w:val="none"/>
          <w:lang w:eastAsia="zh-CN"/>
        </w:rPr>
        <w:t>；</w:t>
      </w:r>
    </w:p>
    <w:p w14:paraId="040998F2">
      <w:pPr>
        <w:pStyle w:val="65"/>
        <w:numPr>
          <w:ilvl w:val="0"/>
          <w:numId w:val="20"/>
        </w:numPr>
        <w:tabs>
          <w:tab w:val="clear" w:pos="851"/>
        </w:tabs>
        <w:ind w:left="840" w:leftChars="200" w:hanging="420" w:hangingChars="200"/>
        <w:rPr>
          <w:rFonts w:hint="eastAsia" w:ascii="宋体" w:hAnsi="Times New Roman" w:eastAsia="宋体" w:cs="Times New Roman"/>
          <w:color w:val="000000"/>
          <w:highlight w:val="none"/>
        </w:rPr>
      </w:pPr>
      <w:r>
        <w:rPr>
          <w:rFonts w:hint="eastAsia" w:hAnsi="Times New Roman" w:eastAsia="宋体" w:cs="Times New Roman"/>
          <w:color w:val="000000"/>
          <w:highlight w:val="none"/>
        </w:rPr>
        <w:t>明确结构荷载不满足要求的薄弱区域、受限区域，提出结构加固、优化排布、缩减装机范围等初步整改建议，从结构安全层面论证项目建设可行性，规避后期结构安全风险</w:t>
      </w:r>
      <w:r>
        <w:rPr>
          <w:rFonts w:hint="eastAsia" w:ascii="宋体" w:hAnsi="Times New Roman" w:eastAsia="宋体" w:cs="Times New Roman"/>
          <w:color w:val="000000"/>
          <w:highlight w:val="none"/>
          <w:lang w:eastAsia="zh-CN"/>
        </w:rPr>
        <w:t>；</w:t>
      </w:r>
    </w:p>
    <w:p w14:paraId="043FA4CC">
      <w:pPr>
        <w:pStyle w:val="65"/>
        <w:numPr>
          <w:ilvl w:val="0"/>
          <w:numId w:val="20"/>
        </w:numPr>
        <w:tabs>
          <w:tab w:val="clear" w:pos="851"/>
        </w:tabs>
        <w:ind w:left="840" w:leftChars="200" w:hanging="420" w:hangingChars="200"/>
        <w:rPr>
          <w:rFonts w:hint="eastAsia" w:hAnsi="Times New Roman" w:eastAsia="宋体" w:cs="Times New Roman"/>
          <w:color w:val="000000"/>
          <w:highlight w:val="none"/>
        </w:rPr>
      </w:pPr>
      <w:r>
        <w:rPr>
          <w:rFonts w:hint="eastAsia" w:hAnsi="Times New Roman" w:eastAsia="宋体" w:cs="Times New Roman"/>
          <w:color w:val="000000"/>
          <w:highlight w:val="none"/>
        </w:rPr>
        <w:t>地面光伏、车棚光伏配套支架基础同步开展地基承载力初步校核，确保场址承载条件适配项目建设方案。</w:t>
      </w:r>
    </w:p>
    <w:p w14:paraId="5BA3D5C4">
      <w:pPr>
        <w:pStyle w:val="65"/>
        <w:numPr>
          <w:ilvl w:val="0"/>
          <w:numId w:val="0"/>
        </w:numPr>
        <w:ind w:left="420" w:hanging="420" w:hangingChars="200"/>
        <w:rPr>
          <w:rFonts w:ascii="宋体" w:hAnsi="宋体" w:eastAsia="宋体" w:cs="宋体"/>
          <w:sz w:val="24"/>
          <w:szCs w:val="24"/>
          <w:highlight w:val="none"/>
        </w:rPr>
      </w:pPr>
      <w:r>
        <w:rPr>
          <w:rFonts w:hint="eastAsia" w:hAnsi="Times New Roman" w:eastAsia="宋体" w:cs="Times New Roman"/>
          <w:color w:val="000000"/>
          <w:highlight w:val="none"/>
          <w:lang w:val="en-US" w:eastAsia="zh-CN"/>
        </w:rPr>
        <w:t>8.2.4 全生命周期绿电、绿证及碳排放减量测算的深度、符合性主要内容包括：</w:t>
      </w:r>
    </w:p>
    <w:p w14:paraId="4644EC23">
      <w:pPr>
        <w:pStyle w:val="65"/>
        <w:numPr>
          <w:ilvl w:val="0"/>
          <w:numId w:val="21"/>
        </w:numPr>
        <w:tabs>
          <w:tab w:val="clear" w:pos="851"/>
        </w:tabs>
        <w:ind w:left="840" w:leftChars="200" w:hanging="420" w:hangingChars="200"/>
        <w:rPr>
          <w:rFonts w:hint="eastAsia" w:ascii="宋体" w:hAnsi="Times New Roman" w:eastAsia="宋体" w:cs="Times New Roman"/>
          <w:color w:val="000000"/>
          <w:highlight w:val="none"/>
        </w:rPr>
      </w:pPr>
      <w:r>
        <w:rPr>
          <w:rFonts w:hint="eastAsia" w:hAnsi="Times New Roman" w:eastAsia="宋体" w:cs="Times New Roman"/>
          <w:color w:val="000000"/>
          <w:highlight w:val="none"/>
        </w:rPr>
        <w:t>基于场址多年逐时光照资源数据、系统设计效率、衰减系数、弃光率、运维折减系数，精细化测算项目全生命周期逐年发电量、等效利用小时数，形成精准的绿电产出台账数据</w:t>
      </w:r>
      <w:r>
        <w:rPr>
          <w:rFonts w:hint="eastAsia" w:ascii="宋体" w:hAnsi="Times New Roman" w:eastAsia="宋体" w:cs="Times New Roman"/>
          <w:color w:val="000000"/>
          <w:highlight w:val="none"/>
          <w:lang w:eastAsia="zh-CN"/>
        </w:rPr>
        <w:t>；</w:t>
      </w:r>
    </w:p>
    <w:p w14:paraId="00105A9D">
      <w:pPr>
        <w:pStyle w:val="65"/>
        <w:numPr>
          <w:ilvl w:val="0"/>
          <w:numId w:val="21"/>
        </w:numPr>
        <w:tabs>
          <w:tab w:val="clear" w:pos="851"/>
        </w:tabs>
        <w:ind w:left="840" w:leftChars="200" w:hanging="420" w:hangingChars="200"/>
        <w:rPr>
          <w:rFonts w:hint="eastAsia" w:ascii="宋体" w:hAnsi="Times New Roman" w:eastAsia="宋体" w:cs="Times New Roman"/>
          <w:color w:val="000000"/>
          <w:highlight w:val="none"/>
        </w:rPr>
      </w:pPr>
      <w:r>
        <w:rPr>
          <w:rFonts w:hint="eastAsia" w:hAnsi="Times New Roman" w:eastAsia="宋体" w:cs="Times New Roman"/>
          <w:color w:val="000000"/>
          <w:highlight w:val="none"/>
        </w:rPr>
        <w:t>依据国家及地方绿电交易、绿证核发政策，结合项目并网类型、消纳方式，测算项目全生命周期绿证核发数量、绿电市场化交易收益、绿证转让收益，量化项目绿色资产收益价值</w:t>
      </w:r>
      <w:r>
        <w:rPr>
          <w:rFonts w:hint="eastAsia" w:ascii="宋体" w:hAnsi="Times New Roman" w:eastAsia="宋体" w:cs="Times New Roman"/>
          <w:color w:val="000000"/>
          <w:highlight w:val="none"/>
          <w:lang w:eastAsia="zh-CN"/>
        </w:rPr>
        <w:t>；</w:t>
      </w:r>
    </w:p>
    <w:p w14:paraId="301ADAA0">
      <w:pPr>
        <w:pStyle w:val="65"/>
        <w:numPr>
          <w:ilvl w:val="0"/>
          <w:numId w:val="21"/>
        </w:numPr>
        <w:tabs>
          <w:tab w:val="clear" w:pos="851"/>
        </w:tabs>
        <w:ind w:left="840" w:leftChars="200" w:hanging="420" w:hangingChars="200"/>
        <w:rPr>
          <w:rFonts w:hint="eastAsia" w:ascii="宋体" w:hAnsi="Times New Roman" w:eastAsia="宋体" w:cs="Times New Roman"/>
          <w:color w:val="000000"/>
          <w:highlight w:val="none"/>
        </w:rPr>
      </w:pPr>
      <w:r>
        <w:rPr>
          <w:rFonts w:hint="eastAsia" w:hAnsi="Times New Roman" w:eastAsia="宋体" w:cs="Times New Roman"/>
          <w:color w:val="000000"/>
          <w:highlight w:val="none"/>
        </w:rPr>
        <w:t>按照国家光伏项目碳排放核算指南及节能低碳相关标准，精准核算项目全生命周期化石能源替代量、二氧化碳、二氧化硫等温室气体及污染物碳减排减量数据，明确项目低碳效益、节能效益与环境价值</w:t>
      </w:r>
      <w:r>
        <w:rPr>
          <w:rFonts w:hint="eastAsia" w:ascii="宋体" w:hAnsi="Times New Roman" w:eastAsia="宋体" w:cs="Times New Roman"/>
          <w:color w:val="000000"/>
          <w:highlight w:val="none"/>
          <w:lang w:eastAsia="zh-CN"/>
        </w:rPr>
        <w:t>；</w:t>
      </w:r>
    </w:p>
    <w:p w14:paraId="1F3A79AE">
      <w:pPr>
        <w:pStyle w:val="65"/>
        <w:numPr>
          <w:ilvl w:val="0"/>
          <w:numId w:val="21"/>
        </w:numPr>
        <w:tabs>
          <w:tab w:val="clear" w:pos="851"/>
        </w:tabs>
        <w:ind w:left="840" w:leftChars="200" w:hanging="420" w:hangingChars="200"/>
        <w:rPr>
          <w:rFonts w:hint="default" w:eastAsia="宋体"/>
          <w:color w:val="000000"/>
          <w:highlight w:val="none"/>
          <w:lang w:val="en-US" w:eastAsia="zh-CN"/>
        </w:rPr>
      </w:pPr>
      <w:r>
        <w:rPr>
          <w:rFonts w:hint="eastAsia" w:hAnsi="Times New Roman" w:eastAsia="宋体" w:cs="Times New Roman"/>
          <w:color w:val="000000"/>
          <w:highlight w:val="none"/>
        </w:rPr>
        <w:t>结合双碳政策、企业能耗抵扣、碳中和履约需求，分析项目绿电、碳减排指标的合规性、交易价值及政策红利，为项目综合投资价值评估、绿色投融资、政策申报提供数据支撑。</w:t>
      </w:r>
      <w:r>
        <w:rPr>
          <w:rFonts w:hint="eastAsia"/>
          <w:color w:val="000000"/>
          <w:highlight w:val="none"/>
          <w:lang w:val="en-US" w:eastAsia="zh-CN"/>
        </w:rPr>
        <w:t xml:space="preserve"> </w:t>
      </w:r>
    </w:p>
    <w:p w14:paraId="1CCD6915">
      <w:pPr>
        <w:pStyle w:val="57"/>
        <w:numPr>
          <w:ilvl w:val="0"/>
          <w:numId w:val="0"/>
        </w:numPr>
        <w:spacing w:line="360" w:lineRule="auto"/>
        <w:ind w:leftChars="0"/>
        <w:rPr>
          <w:color w:val="000000"/>
          <w:highlight w:val="none"/>
        </w:rPr>
      </w:pPr>
      <w:r>
        <w:rPr>
          <w:rFonts w:hint="eastAsia"/>
          <w:color w:val="000000"/>
          <w:highlight w:val="none"/>
          <w:lang w:val="en-US" w:eastAsia="zh-CN"/>
        </w:rPr>
        <w:t xml:space="preserve">8.2.5 </w:t>
      </w:r>
      <w:r>
        <w:rPr>
          <w:rFonts w:hint="eastAsia"/>
          <w:color w:val="000000"/>
          <w:highlight w:val="none"/>
        </w:rPr>
        <w:t>风险评估与化解方案的深度、符合性主要内容包括：</w:t>
      </w:r>
    </w:p>
    <w:p w14:paraId="1582B5C6">
      <w:pPr>
        <w:pStyle w:val="65"/>
        <w:numPr>
          <w:ilvl w:val="0"/>
          <w:numId w:val="22"/>
        </w:numPr>
        <w:tabs>
          <w:tab w:val="clear" w:pos="851"/>
        </w:tabs>
        <w:ind w:left="840" w:leftChars="200" w:hanging="420" w:hangingChars="200"/>
        <w:rPr>
          <w:rFonts w:hint="eastAsia" w:hAnsi="Times New Roman" w:eastAsia="宋体" w:cs="Times New Roman"/>
          <w:color w:val="000000"/>
          <w:highlight w:val="none"/>
        </w:rPr>
      </w:pPr>
      <w:r>
        <w:rPr>
          <w:rFonts w:hint="eastAsia" w:hAnsi="Times New Roman" w:eastAsia="宋体" w:cs="Times New Roman"/>
          <w:color w:val="000000"/>
          <w:highlight w:val="none"/>
        </w:rPr>
        <w:t>开展项目财务敏感性风险专项分析，针对无补贴、低电价、电价波动等市场极端工况进行模拟测算，精准评估项目抗风险能力与盈亏平衡边界</w:t>
      </w:r>
      <w:r>
        <w:rPr>
          <w:rFonts w:hint="eastAsia" w:ascii="宋体" w:hAnsi="Times New Roman" w:eastAsia="宋体" w:cs="Times New Roman"/>
          <w:color w:val="000000"/>
          <w:highlight w:val="none"/>
          <w:lang w:eastAsia="zh-CN"/>
        </w:rPr>
        <w:t>；</w:t>
      </w:r>
    </w:p>
    <w:p w14:paraId="752F36CF">
      <w:pPr>
        <w:pStyle w:val="65"/>
        <w:numPr>
          <w:ilvl w:val="0"/>
          <w:numId w:val="22"/>
        </w:numPr>
        <w:tabs>
          <w:tab w:val="clear" w:pos="851"/>
        </w:tabs>
        <w:ind w:left="840" w:leftChars="200" w:hanging="420" w:hangingChars="200"/>
        <w:rPr>
          <w:rFonts w:hint="eastAsia" w:hAnsi="Times New Roman" w:eastAsia="宋体" w:cs="Times New Roman"/>
          <w:color w:val="000000"/>
          <w:highlight w:val="none"/>
        </w:rPr>
      </w:pPr>
      <w:r>
        <w:rPr>
          <w:rFonts w:hint="eastAsia" w:hAnsi="Times New Roman" w:eastAsia="宋体" w:cs="Times New Roman"/>
          <w:color w:val="000000"/>
          <w:highlight w:val="none"/>
        </w:rPr>
        <w:t>结合区域电网消纳能力、限电历史数据、新能源并网政策，预判项目电力消纳、弃光限电风险，动态梳理最新行业及地方配套政策，制定市场风险预警及应对措施</w:t>
      </w:r>
      <w:r>
        <w:rPr>
          <w:rFonts w:hint="eastAsia" w:ascii="宋体" w:hAnsi="Times New Roman" w:eastAsia="宋体" w:cs="Times New Roman"/>
          <w:color w:val="000000"/>
          <w:highlight w:val="none"/>
          <w:lang w:eastAsia="zh-CN"/>
        </w:rPr>
        <w:t>；</w:t>
      </w:r>
    </w:p>
    <w:p w14:paraId="53D7DDC1">
      <w:pPr>
        <w:pStyle w:val="65"/>
        <w:numPr>
          <w:ilvl w:val="0"/>
          <w:numId w:val="22"/>
        </w:numPr>
        <w:tabs>
          <w:tab w:val="clear" w:pos="851"/>
        </w:tabs>
        <w:ind w:left="840" w:leftChars="200" w:hanging="420" w:hangingChars="200"/>
        <w:rPr>
          <w:rFonts w:hint="eastAsia" w:hAnsi="Times New Roman" w:eastAsia="宋体" w:cs="Times New Roman"/>
          <w:color w:val="000000"/>
          <w:highlight w:val="none"/>
        </w:rPr>
      </w:pPr>
      <w:r>
        <w:rPr>
          <w:rFonts w:hint="eastAsia" w:hAnsi="Times New Roman" w:eastAsia="宋体" w:cs="Times New Roman"/>
          <w:color w:val="000000"/>
          <w:highlight w:val="none"/>
        </w:rPr>
        <w:t>通过系统技术方案论证、主流优质设备品牌筛选、明确设备质保年限及售后条款、投保项目运维保险等多元化手段，规避设备质量、系统故障、运维失效等工程质量风险</w:t>
      </w:r>
      <w:r>
        <w:rPr>
          <w:rFonts w:hint="eastAsia" w:ascii="宋体" w:hAnsi="Times New Roman" w:eastAsia="宋体" w:cs="Times New Roman"/>
          <w:color w:val="000000"/>
          <w:highlight w:val="none"/>
          <w:lang w:eastAsia="zh-CN"/>
        </w:rPr>
        <w:t>；</w:t>
      </w:r>
    </w:p>
    <w:p w14:paraId="0F95EC12">
      <w:pPr>
        <w:pStyle w:val="65"/>
        <w:numPr>
          <w:ilvl w:val="0"/>
          <w:numId w:val="22"/>
        </w:numPr>
        <w:tabs>
          <w:tab w:val="clear" w:pos="851"/>
        </w:tabs>
        <w:ind w:left="840" w:leftChars="200" w:hanging="420" w:hangingChars="200"/>
        <w:rPr>
          <w:rFonts w:hint="eastAsia" w:hAnsi="Times New Roman" w:eastAsia="宋体" w:cs="Times New Roman"/>
          <w:color w:val="000000"/>
          <w:highlight w:val="none"/>
        </w:rPr>
      </w:pPr>
      <w:r>
        <w:rPr>
          <w:rFonts w:hint="eastAsia" w:hAnsi="Times New Roman" w:eastAsia="宋体" w:cs="Times New Roman"/>
          <w:color w:val="000000"/>
          <w:highlight w:val="none"/>
        </w:rPr>
        <w:t>结合项目投资规模、资本金要求、资金使用计划，设计多元化、可落地的项目融资方案，降低资金筹措及资金链断裂风险</w:t>
      </w:r>
      <w:r>
        <w:rPr>
          <w:rFonts w:hint="eastAsia" w:ascii="宋体" w:hAnsi="Times New Roman" w:eastAsia="宋体" w:cs="Times New Roman"/>
          <w:color w:val="000000"/>
          <w:highlight w:val="none"/>
          <w:lang w:eastAsia="zh-CN"/>
        </w:rPr>
        <w:t>；</w:t>
      </w:r>
    </w:p>
    <w:p w14:paraId="0CA407AB">
      <w:pPr>
        <w:pStyle w:val="65"/>
        <w:numPr>
          <w:ilvl w:val="0"/>
          <w:numId w:val="22"/>
        </w:numPr>
        <w:tabs>
          <w:tab w:val="clear" w:pos="851"/>
        </w:tabs>
        <w:ind w:left="840" w:leftChars="200" w:hanging="420" w:hangingChars="200"/>
        <w:rPr>
          <w:rFonts w:hint="eastAsia" w:hAnsi="Times New Roman" w:eastAsia="宋体" w:cs="Times New Roman"/>
          <w:color w:val="000000"/>
          <w:highlight w:val="none"/>
        </w:rPr>
      </w:pPr>
      <w:r>
        <w:rPr>
          <w:rFonts w:hint="eastAsia" w:hAnsi="Times New Roman" w:eastAsia="宋体" w:cs="Times New Roman"/>
          <w:color w:val="000000"/>
          <w:highlight w:val="none"/>
        </w:rPr>
        <w:t>建立项目前期、建设期、运营期全流程标准化管理制度，明确各阶段管控要点，从管理层面规避建设滞后、运维不当、管控缺失等系统性风险</w:t>
      </w:r>
      <w:r>
        <w:rPr>
          <w:rFonts w:hint="eastAsia" w:ascii="宋体" w:hAnsi="Times New Roman" w:eastAsia="宋体" w:cs="Times New Roman"/>
          <w:color w:val="000000"/>
          <w:highlight w:val="none"/>
          <w:lang w:eastAsia="zh-CN"/>
        </w:rPr>
        <w:t>；</w:t>
      </w:r>
    </w:p>
    <w:p w14:paraId="598038A5">
      <w:pPr>
        <w:pStyle w:val="65"/>
        <w:numPr>
          <w:ilvl w:val="0"/>
          <w:numId w:val="22"/>
        </w:numPr>
        <w:tabs>
          <w:tab w:val="clear" w:pos="851"/>
        </w:tabs>
        <w:ind w:left="840" w:leftChars="200" w:hanging="420" w:hangingChars="200"/>
        <w:rPr>
          <w:rFonts w:hint="eastAsia" w:hAnsi="Times New Roman" w:eastAsia="宋体" w:cs="Times New Roman"/>
          <w:color w:val="000000"/>
          <w:highlight w:val="none"/>
        </w:rPr>
      </w:pPr>
      <w:r>
        <w:rPr>
          <w:rFonts w:hint="eastAsia" w:hAnsi="Times New Roman" w:eastAsia="宋体" w:cs="Times New Roman"/>
          <w:color w:val="000000"/>
          <w:highlight w:val="none"/>
        </w:rPr>
        <w:t>针对项目建设履约、合作方违约、项目长期存续运营、政策变动等潜在风险，制定专项应对预案及处置措施，保障项目全周期稳定运营</w:t>
      </w:r>
      <w:r>
        <w:rPr>
          <w:rFonts w:hint="eastAsia" w:ascii="宋体" w:hAnsi="Times New Roman" w:eastAsia="宋体" w:cs="Times New Roman"/>
          <w:color w:val="000000"/>
          <w:highlight w:val="none"/>
          <w:lang w:eastAsia="zh-CN"/>
        </w:rPr>
        <w:t>；</w:t>
      </w:r>
    </w:p>
    <w:p w14:paraId="6A29AACA">
      <w:pPr>
        <w:pStyle w:val="65"/>
        <w:numPr>
          <w:ilvl w:val="0"/>
          <w:numId w:val="22"/>
        </w:numPr>
        <w:tabs>
          <w:tab w:val="clear" w:pos="851"/>
        </w:tabs>
        <w:ind w:left="840" w:leftChars="200" w:hanging="420" w:hangingChars="200"/>
        <w:rPr>
          <w:rFonts w:hint="eastAsia"/>
          <w:color w:val="000000"/>
          <w:highlight w:val="none"/>
        </w:rPr>
      </w:pPr>
      <w:r>
        <w:rPr>
          <w:rFonts w:hint="eastAsia" w:hAnsi="Times New Roman" w:eastAsia="宋体" w:cs="Times New Roman"/>
          <w:color w:val="000000"/>
          <w:highlight w:val="none"/>
        </w:rPr>
        <w:t>海上光伏发电工程需针对海域使用权合规性、海洋生态环境影响、海上通航安全、海域防洪防潮标准等内容开展专项论证与风险评估，配套制定专项风险防控及整改方案</w:t>
      </w:r>
      <w:r>
        <w:rPr>
          <w:rFonts w:hint="eastAsia"/>
          <w:color w:val="000000"/>
          <w:highlight w:val="none"/>
        </w:rPr>
        <w:t>。</w:t>
      </w:r>
    </w:p>
    <w:p w14:paraId="4C2F42D5">
      <w:pPr>
        <w:pStyle w:val="57"/>
        <w:numPr>
          <w:ilvl w:val="0"/>
          <w:numId w:val="0"/>
        </w:numPr>
        <w:spacing w:line="360" w:lineRule="auto"/>
        <w:ind w:leftChars="0"/>
        <w:rPr>
          <w:color w:val="000000"/>
          <w:highlight w:val="none"/>
        </w:rPr>
      </w:pPr>
      <w:r>
        <w:rPr>
          <w:rFonts w:hint="eastAsia"/>
          <w:color w:val="000000"/>
          <w:highlight w:val="none"/>
          <w:lang w:val="en-US" w:eastAsia="zh-CN"/>
        </w:rPr>
        <w:t xml:space="preserve">8.2.6 </w:t>
      </w:r>
      <w:r>
        <w:rPr>
          <w:rFonts w:hint="eastAsia"/>
          <w:color w:val="000000"/>
          <w:highlight w:val="none"/>
        </w:rPr>
        <w:t xml:space="preserve"> 融资方案与投资建议的深度、符合性主要内容包括：</w:t>
      </w:r>
    </w:p>
    <w:p w14:paraId="7495E09C">
      <w:pPr>
        <w:pStyle w:val="65"/>
        <w:numPr>
          <w:ilvl w:val="0"/>
          <w:numId w:val="23"/>
        </w:numPr>
        <w:tabs>
          <w:tab w:val="clear" w:pos="851"/>
        </w:tabs>
        <w:ind w:left="840" w:leftChars="200" w:hanging="420" w:hangingChars="200"/>
        <w:rPr>
          <w:rFonts w:hint="eastAsia" w:hAnsi="Times New Roman" w:eastAsia="宋体" w:cs="Times New Roman"/>
          <w:color w:val="000000"/>
          <w:highlight w:val="none"/>
        </w:rPr>
      </w:pPr>
      <w:r>
        <w:rPr>
          <w:rFonts w:hint="eastAsia" w:hAnsi="Times New Roman" w:eastAsia="宋体" w:cs="Times New Roman"/>
          <w:color w:val="000000"/>
          <w:highlight w:val="none"/>
        </w:rPr>
        <w:t>根据项目资本金制度要求，合理测算资本金与债务资金配比结构，梳理银行贷款、专项融资、产业基金等各类合规融资渠道，设计科学、经济、落地性强的项目整体融资方案，明确资金筹措计划及资金使用方案；</w:t>
      </w:r>
    </w:p>
    <w:p w14:paraId="1785568E">
      <w:pPr>
        <w:pStyle w:val="65"/>
        <w:numPr>
          <w:ilvl w:val="0"/>
          <w:numId w:val="23"/>
        </w:numPr>
        <w:tabs>
          <w:tab w:val="clear" w:pos="851"/>
        </w:tabs>
        <w:ind w:left="840" w:leftChars="200" w:hanging="420" w:hangingChars="200"/>
        <w:rPr>
          <w:rFonts w:hint="eastAsia"/>
          <w:color w:val="000000"/>
          <w:highlight w:val="none"/>
        </w:rPr>
      </w:pPr>
      <w:r>
        <w:rPr>
          <w:rFonts w:hint="eastAsia" w:hAnsi="Times New Roman" w:eastAsia="宋体" w:cs="Times New Roman"/>
          <w:color w:val="000000"/>
          <w:highlight w:val="none"/>
        </w:rPr>
        <w:t>综合项目技术可行性、经济收益性、政策合规性、各类风险等级及化解能力、融资可行性等多维度指标，开展全方位综合比选分析，形成清晰、明确、可落地的项目投资决策结论及专业化投资建议</w:t>
      </w:r>
      <w:r>
        <w:rPr>
          <w:rFonts w:hint="eastAsia"/>
          <w:color w:val="000000"/>
          <w:highlight w:val="none"/>
        </w:rPr>
        <w:t>。</w:t>
      </w:r>
    </w:p>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14:paraId="46F549DF">
      <w:pPr>
        <w:pStyle w:val="49"/>
        <w:spacing w:before="240" w:after="240"/>
        <w:rPr>
          <w:rFonts w:hint="eastAsia"/>
          <w:color w:val="000000"/>
          <w:highlight w:val="none"/>
        </w:rPr>
      </w:pPr>
      <w:bookmarkStart w:id="192" w:name="_Toc21113"/>
      <w:bookmarkStart w:id="193" w:name="_Toc18008"/>
      <w:bookmarkStart w:id="194" w:name="_Toc155628794"/>
      <w:bookmarkStart w:id="195" w:name="_Toc155604569"/>
      <w:bookmarkStart w:id="196" w:name="_Toc155714350"/>
      <w:bookmarkStart w:id="197" w:name="_Toc155628731"/>
      <w:bookmarkStart w:id="198" w:name="_Toc155714290"/>
      <w:r>
        <w:rPr>
          <w:rFonts w:hint="eastAsia"/>
          <w:color w:val="000000"/>
          <w:highlight w:val="none"/>
        </w:rPr>
        <w:t>勘察设计咨询</w:t>
      </w:r>
      <w:bookmarkEnd w:id="192"/>
      <w:bookmarkEnd w:id="193"/>
    </w:p>
    <w:p w14:paraId="53B3B79E">
      <w:pPr>
        <w:pStyle w:val="51"/>
        <w:numPr>
          <w:ilvl w:val="2"/>
          <w:numId w:val="14"/>
        </w:numPr>
        <w:spacing w:before="120" w:after="120"/>
        <w:rPr>
          <w:rFonts w:hint="eastAsia" w:ascii="宋体" w:eastAsia="宋体"/>
          <w:color w:val="000000"/>
          <w:highlight w:val="none"/>
        </w:rPr>
      </w:pPr>
      <w:bookmarkStart w:id="199" w:name="_Toc20556"/>
      <w:bookmarkStart w:id="200" w:name="_Toc12273"/>
      <w:r>
        <w:rPr>
          <w:rFonts w:hint="eastAsia" w:ascii="宋体" w:eastAsia="宋体"/>
          <w:color w:val="000000"/>
          <w:highlight w:val="none"/>
        </w:rPr>
        <w:t>一般规定</w:t>
      </w:r>
      <w:bookmarkEnd w:id="199"/>
    </w:p>
    <w:p w14:paraId="785F946D">
      <w:pPr>
        <w:pStyle w:val="57"/>
        <w:numPr>
          <w:ilvl w:val="3"/>
          <w:numId w:val="14"/>
        </w:numPr>
        <w:rPr>
          <w:rFonts w:hint="eastAsia"/>
          <w:color w:val="000000"/>
          <w:highlight w:val="none"/>
        </w:rPr>
      </w:pPr>
      <w:r>
        <w:rPr>
          <w:rFonts w:hint="eastAsia"/>
          <w:color w:val="000000"/>
          <w:highlight w:val="none"/>
        </w:rPr>
        <w:t>咨询单位应依据合同约定，开展光伏发电工程勘察、初步设计、施工图设计和竣工图等阶段的咨询工作。</w:t>
      </w:r>
    </w:p>
    <w:p w14:paraId="04D673E2">
      <w:pPr>
        <w:pStyle w:val="57"/>
        <w:numPr>
          <w:ilvl w:val="3"/>
          <w:numId w:val="14"/>
        </w:numPr>
        <w:rPr>
          <w:rFonts w:hint="eastAsia"/>
          <w:color w:val="000000"/>
          <w:highlight w:val="none"/>
        </w:rPr>
      </w:pPr>
      <w:r>
        <w:rPr>
          <w:rFonts w:hint="eastAsia"/>
          <w:color w:val="000000"/>
          <w:highlight w:val="none"/>
        </w:rPr>
        <w:t>咨询单位应结合针对地面集中式、分布式、水面及特殊场景（复合应用型）等光伏电站的差异化特征，编制工程勘察设计咨询规划及实施细则，经本单位审批后报送委托方，按序组织开展相应的咨询工作。</w:t>
      </w:r>
    </w:p>
    <w:p w14:paraId="130064BF">
      <w:pPr>
        <w:pStyle w:val="57"/>
        <w:numPr>
          <w:ilvl w:val="3"/>
          <w:numId w:val="14"/>
        </w:numPr>
        <w:rPr>
          <w:rFonts w:hint="eastAsia"/>
          <w:color w:val="000000"/>
          <w:highlight w:val="none"/>
        </w:rPr>
      </w:pPr>
      <w:r>
        <w:rPr>
          <w:rFonts w:hint="eastAsia"/>
          <w:color w:val="000000"/>
          <w:highlight w:val="none"/>
        </w:rPr>
        <w:t>咨询单位应审核勘察设计单位提交的工程勘察设计计划文件，重点关注勘察范围、技术标准、光资源测算方法、组件布置原则及与电网接入相关的设计深度，提出咨询意见。</w:t>
      </w:r>
    </w:p>
    <w:p w14:paraId="294DBDC1">
      <w:pPr>
        <w:pStyle w:val="57"/>
        <w:numPr>
          <w:ilvl w:val="3"/>
          <w:numId w:val="14"/>
        </w:numPr>
        <w:rPr>
          <w:rFonts w:hint="eastAsia"/>
          <w:color w:val="000000"/>
          <w:highlight w:val="none"/>
        </w:rPr>
      </w:pPr>
      <w:r>
        <w:rPr>
          <w:rFonts w:hint="eastAsia"/>
          <w:color w:val="000000"/>
          <w:highlight w:val="none"/>
        </w:rPr>
        <w:t>勘察设计咨询工作应关注进度与质量，当前期勘察、设计进度影响工程整体实施计划时，咨询机构应及时提出纠偏措施并报</w:t>
      </w:r>
      <w:commentRangeStart w:id="9"/>
      <w:r>
        <w:rPr>
          <w:rFonts w:hint="eastAsia"/>
          <w:color w:val="000000"/>
          <w:highlight w:val="none"/>
        </w:rPr>
        <w:t>委托方</w:t>
      </w:r>
      <w:commentRangeEnd w:id="9"/>
      <w:r>
        <w:rPr>
          <w:color w:val="000000"/>
          <w:highlight w:val="none"/>
        </w:rPr>
        <w:commentReference w:id="9"/>
      </w:r>
      <w:r>
        <w:rPr>
          <w:rFonts w:hint="eastAsia"/>
          <w:color w:val="000000"/>
          <w:highlight w:val="none"/>
        </w:rPr>
        <w:t>确认。</w:t>
      </w:r>
    </w:p>
    <w:bookmarkEnd w:id="200"/>
    <w:p w14:paraId="5736F4C4">
      <w:pPr>
        <w:pStyle w:val="51"/>
        <w:numPr>
          <w:ilvl w:val="2"/>
          <w:numId w:val="14"/>
        </w:numPr>
        <w:spacing w:before="120" w:after="120"/>
        <w:rPr>
          <w:rFonts w:hint="eastAsia"/>
          <w:color w:val="000000"/>
          <w:highlight w:val="none"/>
        </w:rPr>
      </w:pPr>
      <w:bookmarkStart w:id="201" w:name="_Toc27973"/>
      <w:bookmarkStart w:id="202" w:name="_Toc13402"/>
      <w:r>
        <w:rPr>
          <w:rFonts w:hint="eastAsia"/>
          <w:color w:val="000000"/>
          <w:highlight w:val="none"/>
        </w:rPr>
        <w:t>勘察咨询的主要内容</w:t>
      </w:r>
      <w:bookmarkEnd w:id="201"/>
    </w:p>
    <w:p w14:paraId="6DF495F0">
      <w:pPr>
        <w:pStyle w:val="57"/>
        <w:numPr>
          <w:ilvl w:val="3"/>
          <w:numId w:val="14"/>
        </w:numPr>
        <w:rPr>
          <w:rFonts w:hint="eastAsia"/>
          <w:color w:val="000000"/>
          <w:highlight w:val="none"/>
        </w:rPr>
      </w:pPr>
      <w:r>
        <w:rPr>
          <w:rFonts w:hint="eastAsia"/>
          <w:color w:val="000000"/>
          <w:highlight w:val="none"/>
        </w:rPr>
        <w:t>工程勘察咨询服务范围可包括初步设计阶段勘察、施工图设计阶段勘察及补充勘察等。</w:t>
      </w:r>
    </w:p>
    <w:p w14:paraId="29052AC7">
      <w:pPr>
        <w:pStyle w:val="57"/>
        <w:numPr>
          <w:ilvl w:val="3"/>
          <w:numId w:val="14"/>
        </w:numPr>
        <w:rPr>
          <w:rFonts w:hint="eastAsia"/>
          <w:color w:val="000000"/>
          <w:highlight w:val="none"/>
        </w:rPr>
      </w:pPr>
      <w:r>
        <w:rPr>
          <w:rFonts w:hint="eastAsia"/>
          <w:color w:val="000000"/>
          <w:highlight w:val="none"/>
        </w:rPr>
        <w:t>协助委托方明确光伏</w:t>
      </w:r>
      <w:r>
        <w:rPr>
          <w:rFonts w:hint="eastAsia"/>
          <w:color w:val="000000"/>
          <w:highlight w:val="none"/>
          <w:lang w:val="en-US" w:eastAsia="zh-CN"/>
        </w:rPr>
        <w:t>发电工程的</w:t>
      </w:r>
      <w:r>
        <w:rPr>
          <w:rFonts w:hint="eastAsia"/>
          <w:color w:val="000000"/>
          <w:highlight w:val="none"/>
        </w:rPr>
        <w:t>勘察范围、阶段划分及技术要求，编制或审查勘察任务书和工作方案。</w:t>
      </w:r>
    </w:p>
    <w:p w14:paraId="2805B779">
      <w:pPr>
        <w:pStyle w:val="57"/>
        <w:numPr>
          <w:ilvl w:val="3"/>
          <w:numId w:val="14"/>
        </w:numPr>
        <w:rPr>
          <w:rFonts w:hint="eastAsia"/>
          <w:color w:val="000000"/>
          <w:highlight w:val="none"/>
        </w:rPr>
      </w:pPr>
      <w:r>
        <w:rPr>
          <w:rFonts w:hint="eastAsia"/>
          <w:color w:val="000000"/>
          <w:highlight w:val="none"/>
        </w:rPr>
        <w:t>审查勘察单位提交的勘察计划，重点关注光资源与气象条件测算，地质、水文及不良地质灾害评价，施工可达性与场平条件。</w:t>
      </w:r>
    </w:p>
    <w:p w14:paraId="64F529E7">
      <w:pPr>
        <w:pStyle w:val="57"/>
        <w:numPr>
          <w:ilvl w:val="3"/>
          <w:numId w:val="14"/>
        </w:numPr>
        <w:rPr>
          <w:rFonts w:hint="eastAsia"/>
          <w:color w:val="000000"/>
          <w:highlight w:val="none"/>
        </w:rPr>
      </w:pPr>
      <w:r>
        <w:rPr>
          <w:rFonts w:hint="eastAsia"/>
          <w:color w:val="000000"/>
          <w:highlight w:val="none"/>
        </w:rPr>
        <w:t>复核勘察成果文件的深度与准确性，包括测绘控制点布设、岩土试验与基础承载力参数、腐蚀性土与地下水特性、洪涝与行洪通道分析。</w:t>
      </w:r>
    </w:p>
    <w:p w14:paraId="1CBED052">
      <w:pPr>
        <w:pStyle w:val="57"/>
        <w:numPr>
          <w:ilvl w:val="3"/>
          <w:numId w:val="14"/>
        </w:numPr>
        <w:rPr>
          <w:rFonts w:hint="eastAsia"/>
          <w:color w:val="000000"/>
          <w:highlight w:val="none"/>
        </w:rPr>
      </w:pPr>
      <w:r>
        <w:rPr>
          <w:rFonts w:hint="eastAsia"/>
          <w:color w:val="000000"/>
          <w:highlight w:val="none"/>
        </w:rPr>
        <w:t>审查</w:t>
      </w:r>
      <w:r>
        <w:rPr>
          <w:rFonts w:hint="eastAsia"/>
          <w:color w:val="000000"/>
          <w:highlight w:val="none"/>
          <w:lang w:val="en-US" w:eastAsia="zh-CN"/>
        </w:rPr>
        <w:t>光伏发电工程</w:t>
      </w:r>
      <w:r>
        <w:rPr>
          <w:rFonts w:hint="eastAsia"/>
          <w:color w:val="000000"/>
          <w:highlight w:val="none"/>
        </w:rPr>
        <w:t>场址合规性咨询成果，涵盖生态红线、基本农田、林草地、文物与自然保护区，提出合理性建议。</w:t>
      </w:r>
    </w:p>
    <w:p w14:paraId="477D1A69">
      <w:pPr>
        <w:pStyle w:val="57"/>
        <w:numPr>
          <w:ilvl w:val="3"/>
          <w:numId w:val="14"/>
        </w:numPr>
        <w:rPr>
          <w:rFonts w:hint="eastAsia"/>
          <w:color w:val="000000"/>
          <w:highlight w:val="none"/>
        </w:rPr>
      </w:pPr>
      <w:r>
        <w:rPr>
          <w:rFonts w:hint="eastAsia"/>
          <w:color w:val="000000"/>
          <w:highlight w:val="none"/>
        </w:rPr>
        <w:t>勘察咨询应包括下列主要内容：</w:t>
      </w:r>
    </w:p>
    <w:p w14:paraId="0CCD6DE5">
      <w:pPr>
        <w:pStyle w:val="65"/>
        <w:numPr>
          <w:ilvl w:val="0"/>
          <w:numId w:val="24"/>
        </w:numPr>
        <w:tabs>
          <w:tab w:val="clear" w:pos="851"/>
        </w:tabs>
        <w:ind w:left="840" w:leftChars="200" w:hanging="420" w:hangingChars="200"/>
        <w:rPr>
          <w:rFonts w:hint="eastAsia"/>
          <w:color w:val="000000"/>
          <w:highlight w:val="none"/>
        </w:rPr>
      </w:pPr>
      <w:r>
        <w:rPr>
          <w:rFonts w:hint="eastAsia"/>
          <w:color w:val="000000"/>
          <w:highlight w:val="none"/>
        </w:rPr>
        <w:t>协助委托方审核光伏发电工程勘察技术要求、勘察任务书及勘察工作方案，重点审查勘察范围、工作内容、技术标准及成果深度是否满足工程建设需要；</w:t>
      </w:r>
    </w:p>
    <w:p w14:paraId="2BD73921">
      <w:pPr>
        <w:pStyle w:val="65"/>
        <w:numPr>
          <w:ilvl w:val="0"/>
          <w:numId w:val="24"/>
        </w:numPr>
        <w:tabs>
          <w:tab w:val="clear" w:pos="851"/>
        </w:tabs>
        <w:ind w:left="840" w:leftChars="200" w:hanging="420" w:hangingChars="200"/>
        <w:rPr>
          <w:rFonts w:hint="eastAsia"/>
          <w:color w:val="000000"/>
          <w:highlight w:val="none"/>
        </w:rPr>
      </w:pPr>
      <w:r>
        <w:rPr>
          <w:rFonts w:hint="eastAsia"/>
          <w:color w:val="000000"/>
          <w:highlight w:val="none"/>
        </w:rPr>
        <w:t>审查光伏场址勘察成果，重点评价光资源、气象条件、地形地貌、工程地质、水文地质及不良地质作用分析成果是否满足光伏场区布置、支架基础设计及工程建设要求；</w:t>
      </w:r>
    </w:p>
    <w:p w14:paraId="38F69EC1">
      <w:pPr>
        <w:pStyle w:val="65"/>
        <w:numPr>
          <w:ilvl w:val="0"/>
          <w:numId w:val="24"/>
        </w:numPr>
        <w:tabs>
          <w:tab w:val="clear" w:pos="851"/>
        </w:tabs>
        <w:ind w:left="840" w:leftChars="200" w:hanging="420" w:hangingChars="200"/>
        <w:rPr>
          <w:rFonts w:hint="eastAsia"/>
          <w:color w:val="000000"/>
          <w:highlight w:val="none"/>
        </w:rPr>
      </w:pPr>
      <w:r>
        <w:rPr>
          <w:rFonts w:hint="eastAsia"/>
          <w:color w:val="000000"/>
          <w:highlight w:val="none"/>
        </w:rPr>
        <w:t>审查场址岩土工程勘察成果，重点评价地基承载力、土层分布、地下水、土壤及地下水腐蚀性、边坡稳定性、软弱地基等参数及分析成果的合理性，并提出咨询意见；</w:t>
      </w:r>
    </w:p>
    <w:p w14:paraId="10F8156C">
      <w:pPr>
        <w:pStyle w:val="65"/>
        <w:numPr>
          <w:ilvl w:val="0"/>
          <w:numId w:val="24"/>
        </w:numPr>
        <w:tabs>
          <w:tab w:val="clear" w:pos="851"/>
        </w:tabs>
        <w:ind w:left="840" w:leftChars="200" w:hanging="420" w:hangingChars="200"/>
        <w:rPr>
          <w:rFonts w:hint="eastAsia"/>
          <w:color w:val="000000"/>
          <w:highlight w:val="none"/>
        </w:rPr>
      </w:pPr>
      <w:r>
        <w:rPr>
          <w:rFonts w:hint="eastAsia"/>
          <w:color w:val="000000"/>
          <w:highlight w:val="none"/>
        </w:rPr>
        <w:t>审查场址场平条件、排水条件、施工可达性及施工组织条件分析成果，重点评价大规模光伏阵列建设、设备运输及施工组织实施的适应性；</w:t>
      </w:r>
    </w:p>
    <w:p w14:paraId="27845848">
      <w:pPr>
        <w:pStyle w:val="65"/>
        <w:numPr>
          <w:ilvl w:val="0"/>
          <w:numId w:val="24"/>
        </w:numPr>
        <w:tabs>
          <w:tab w:val="clear" w:pos="851"/>
        </w:tabs>
        <w:ind w:left="840" w:leftChars="200" w:hanging="420" w:hangingChars="200"/>
        <w:rPr>
          <w:rFonts w:hint="eastAsia"/>
          <w:color w:val="000000"/>
          <w:highlight w:val="none"/>
        </w:rPr>
      </w:pPr>
      <w:r>
        <w:rPr>
          <w:rFonts w:hint="eastAsia"/>
          <w:color w:val="000000"/>
          <w:highlight w:val="none"/>
        </w:rPr>
        <w:t>审查送出线路、升压站及集电线路等配套工程勘察成果，重点评价线路路径、地质条件、基础型式适应性及建设条件是否满足设计要求；</w:t>
      </w:r>
    </w:p>
    <w:p w14:paraId="797BCF59">
      <w:pPr>
        <w:pStyle w:val="65"/>
        <w:numPr>
          <w:ilvl w:val="0"/>
          <w:numId w:val="24"/>
        </w:numPr>
        <w:tabs>
          <w:tab w:val="clear" w:pos="851"/>
        </w:tabs>
        <w:ind w:left="840" w:leftChars="200" w:hanging="420" w:hangingChars="200"/>
        <w:rPr>
          <w:rFonts w:hint="eastAsia"/>
          <w:color w:val="000000"/>
          <w:highlight w:val="none"/>
        </w:rPr>
      </w:pPr>
      <w:r>
        <w:rPr>
          <w:rFonts w:hint="eastAsia"/>
          <w:color w:val="000000"/>
          <w:highlight w:val="none"/>
        </w:rPr>
        <w:t>审查场址合规性相关勘察成果，重点评价生态环境保护、土地利用、林草地、压覆矿产、地质灾害、水土保持、防洪及其他限制性因素对工程建设的影响，并提出优化建议；</w:t>
      </w:r>
    </w:p>
    <w:p w14:paraId="07C7B265">
      <w:pPr>
        <w:pStyle w:val="65"/>
        <w:numPr>
          <w:ilvl w:val="0"/>
          <w:numId w:val="24"/>
        </w:numPr>
        <w:tabs>
          <w:tab w:val="clear" w:pos="851"/>
        </w:tabs>
        <w:ind w:left="840" w:leftChars="200" w:hanging="420" w:hangingChars="200"/>
        <w:rPr>
          <w:rFonts w:hint="eastAsia"/>
          <w:color w:val="000000"/>
          <w:highlight w:val="none"/>
        </w:rPr>
      </w:pPr>
      <w:r>
        <w:rPr>
          <w:rFonts w:hint="eastAsia"/>
          <w:color w:val="000000"/>
          <w:highlight w:val="none"/>
        </w:rPr>
        <w:t>审查勘察成果对工程设计的支撑作用，重点分析基础选型、场区布置、土石方平衡、施工组织及工程投资等关键设计条件是否充分，并对需要补充勘察或优化勘察的内容提出咨询建议；</w:t>
      </w:r>
    </w:p>
    <w:p w14:paraId="06EEBC36">
      <w:pPr>
        <w:pStyle w:val="65"/>
        <w:numPr>
          <w:ilvl w:val="0"/>
          <w:numId w:val="24"/>
        </w:numPr>
        <w:tabs>
          <w:tab w:val="clear" w:pos="851"/>
        </w:tabs>
        <w:ind w:left="840" w:leftChars="200" w:hanging="420" w:hangingChars="200"/>
        <w:rPr>
          <w:rFonts w:hint="eastAsia"/>
          <w:color w:val="000000"/>
          <w:highlight w:val="none"/>
        </w:rPr>
      </w:pPr>
      <w:r>
        <w:rPr>
          <w:rFonts w:hint="eastAsia"/>
          <w:color w:val="000000"/>
          <w:highlight w:val="none"/>
        </w:rPr>
        <w:t>配合委托方组织勘察成果验收，对勘察成果的完整性、准确性、适用性及风险控制情况进行综合评价，形成勘察咨询意见。</w:t>
      </w:r>
      <w:bookmarkEnd w:id="202"/>
    </w:p>
    <w:p w14:paraId="22175C4B">
      <w:pPr>
        <w:pStyle w:val="51"/>
        <w:numPr>
          <w:ilvl w:val="2"/>
          <w:numId w:val="14"/>
        </w:numPr>
        <w:spacing w:before="120" w:after="120"/>
        <w:rPr>
          <w:rFonts w:hint="eastAsia"/>
          <w:color w:val="000000"/>
          <w:highlight w:val="none"/>
        </w:rPr>
      </w:pPr>
      <w:bookmarkStart w:id="203" w:name="_Toc25649"/>
      <w:bookmarkStart w:id="204" w:name="_Toc21876"/>
      <w:r>
        <w:rPr>
          <w:rFonts w:hint="eastAsia"/>
          <w:color w:val="000000"/>
          <w:highlight w:val="none"/>
        </w:rPr>
        <w:t>初步设计咨询的主要内容</w:t>
      </w:r>
      <w:bookmarkEnd w:id="203"/>
    </w:p>
    <w:p w14:paraId="4E60D673">
      <w:pPr>
        <w:pStyle w:val="57"/>
        <w:numPr>
          <w:ilvl w:val="3"/>
          <w:numId w:val="14"/>
        </w:numPr>
        <w:rPr>
          <w:rFonts w:hint="eastAsia"/>
          <w:color w:val="000000"/>
          <w:highlight w:val="none"/>
        </w:rPr>
      </w:pPr>
      <w:r>
        <w:rPr>
          <w:rFonts w:hint="eastAsia"/>
          <w:color w:val="000000"/>
          <w:highlight w:val="none"/>
        </w:rPr>
        <w:t>协助委托方选择本阶段设计单位。</w:t>
      </w:r>
    </w:p>
    <w:p w14:paraId="27F8F340">
      <w:pPr>
        <w:pStyle w:val="57"/>
        <w:numPr>
          <w:ilvl w:val="3"/>
          <w:numId w:val="14"/>
        </w:numPr>
        <w:rPr>
          <w:rFonts w:hint="eastAsia"/>
          <w:color w:val="000000"/>
          <w:highlight w:val="none"/>
        </w:rPr>
      </w:pPr>
      <w:r>
        <w:rPr>
          <w:rFonts w:hint="eastAsia"/>
          <w:color w:val="000000"/>
          <w:highlight w:val="none"/>
        </w:rPr>
        <w:t>跟踪检查设计单位初步设计阶段的设计质量，组织初步设计内审，参加初步设计外审并核查初步设计收口文件。</w:t>
      </w:r>
    </w:p>
    <w:p w14:paraId="65CF6DB5">
      <w:pPr>
        <w:pStyle w:val="57"/>
        <w:numPr>
          <w:ilvl w:val="3"/>
          <w:numId w:val="14"/>
        </w:numPr>
        <w:rPr>
          <w:rFonts w:hint="eastAsia"/>
          <w:color w:val="000000"/>
          <w:highlight w:val="none"/>
        </w:rPr>
      </w:pPr>
      <w:r>
        <w:rPr>
          <w:rFonts w:hint="eastAsia"/>
          <w:color w:val="000000"/>
          <w:highlight w:val="none"/>
        </w:rPr>
        <w:t>审查重要设备招标文件中的技术规范书，按需参加评标工作和主要设备技术协议谈判工作。</w:t>
      </w:r>
    </w:p>
    <w:p w14:paraId="197661FB">
      <w:pPr>
        <w:pStyle w:val="57"/>
        <w:numPr>
          <w:ilvl w:val="3"/>
          <w:numId w:val="14"/>
        </w:numPr>
        <w:rPr>
          <w:rFonts w:hint="eastAsia"/>
          <w:color w:val="000000"/>
          <w:highlight w:val="none"/>
        </w:rPr>
      </w:pPr>
      <w:r>
        <w:rPr>
          <w:rFonts w:hint="eastAsia"/>
          <w:color w:val="000000"/>
          <w:highlight w:val="none"/>
        </w:rPr>
        <w:t>初步设计文件评审的重点内容包括：</w:t>
      </w:r>
    </w:p>
    <w:p w14:paraId="27457356">
      <w:pPr>
        <w:pStyle w:val="65"/>
        <w:numPr>
          <w:ilvl w:val="0"/>
          <w:numId w:val="25"/>
        </w:numPr>
        <w:rPr>
          <w:rFonts w:hint="eastAsia"/>
          <w:color w:val="000000"/>
          <w:highlight w:val="none"/>
        </w:rPr>
      </w:pPr>
      <w:r>
        <w:rPr>
          <w:rFonts w:hint="eastAsia"/>
          <w:color w:val="000000"/>
          <w:highlight w:val="none"/>
        </w:rPr>
        <w:t>审查初步设计方案的符合性与完整性，应符合光伏</w:t>
      </w:r>
      <w:r>
        <w:rPr>
          <w:rFonts w:hint="eastAsia"/>
          <w:color w:val="000000"/>
          <w:highlight w:val="none"/>
          <w:lang w:val="en-US" w:eastAsia="zh-CN"/>
        </w:rPr>
        <w:t>发电</w:t>
      </w:r>
      <w:r>
        <w:rPr>
          <w:rFonts w:hint="eastAsia"/>
          <w:color w:val="000000"/>
          <w:highlight w:val="none"/>
        </w:rPr>
        <w:t>工程初步设计深度规定及可研批复要求；</w:t>
      </w:r>
    </w:p>
    <w:p w14:paraId="63DAB146">
      <w:pPr>
        <w:pStyle w:val="65"/>
        <w:numPr>
          <w:ilvl w:val="0"/>
          <w:numId w:val="25"/>
        </w:numPr>
        <w:rPr>
          <w:rFonts w:hint="eastAsia"/>
          <w:color w:val="000000"/>
          <w:highlight w:val="none"/>
        </w:rPr>
      </w:pPr>
      <w:r>
        <w:rPr>
          <w:rFonts w:hint="eastAsia"/>
          <w:color w:val="000000"/>
          <w:highlight w:val="none"/>
        </w:rPr>
        <w:t>审查光伏发电工程总体设计方案，重点评价场址总体规划、站区总平面布置、光伏阵列布置、道路及排水系统布置的合理性和实施可行性；</w:t>
      </w:r>
    </w:p>
    <w:p w14:paraId="64B28980">
      <w:pPr>
        <w:pStyle w:val="65"/>
        <w:numPr>
          <w:ilvl w:val="0"/>
          <w:numId w:val="25"/>
        </w:numPr>
        <w:rPr>
          <w:rFonts w:hint="eastAsia"/>
          <w:color w:val="000000"/>
          <w:highlight w:val="none"/>
        </w:rPr>
      </w:pPr>
      <w:r>
        <w:rPr>
          <w:rFonts w:hint="eastAsia"/>
          <w:color w:val="000000"/>
          <w:highlight w:val="none"/>
        </w:rPr>
        <w:t>审查光伏组件、支架、基础、逆变器、箱式变电站、集电线路、升压站及送出工程等主要系统方案，重点评价技术路线、设备选型、系统配置及方案比选的合理性；</w:t>
      </w:r>
    </w:p>
    <w:p w14:paraId="564A7721">
      <w:pPr>
        <w:pStyle w:val="65"/>
        <w:numPr>
          <w:ilvl w:val="0"/>
          <w:numId w:val="25"/>
        </w:numPr>
        <w:rPr>
          <w:rFonts w:hint="eastAsia"/>
          <w:color w:val="000000"/>
          <w:highlight w:val="none"/>
        </w:rPr>
      </w:pPr>
      <w:r>
        <w:rPr>
          <w:rFonts w:hint="eastAsia"/>
          <w:color w:val="000000"/>
          <w:highlight w:val="none"/>
        </w:rPr>
        <w:t>审查支架基础及地基处理方案，重点评价其与</w:t>
      </w:r>
      <w:r>
        <w:rPr>
          <w:rFonts w:hint="eastAsia"/>
          <w:color w:val="000000"/>
          <w:highlight w:val="none"/>
          <w:lang w:val="en-US" w:eastAsia="zh-CN"/>
        </w:rPr>
        <w:t>光伏</w:t>
      </w:r>
      <w:r>
        <w:rPr>
          <w:rFonts w:hint="eastAsia"/>
          <w:color w:val="000000"/>
          <w:highlight w:val="none"/>
        </w:rPr>
        <w:t>工程勘察成果的匹配性，以及基础安全性、施工适应性和经济合理性；</w:t>
      </w:r>
    </w:p>
    <w:p w14:paraId="70829311">
      <w:pPr>
        <w:pStyle w:val="65"/>
        <w:numPr>
          <w:ilvl w:val="0"/>
          <w:numId w:val="25"/>
        </w:numPr>
        <w:rPr>
          <w:rFonts w:hint="eastAsia"/>
          <w:color w:val="000000"/>
          <w:highlight w:val="none"/>
        </w:rPr>
      </w:pPr>
      <w:r>
        <w:rPr>
          <w:rFonts w:hint="eastAsia"/>
          <w:color w:val="000000"/>
          <w:highlight w:val="none"/>
        </w:rPr>
        <w:t>审查发电量计算及系统性能分析成果，重点评价光资源参数选取、系统效率、容配比、阴影分析、发电量预测及限电消纳分析的合理性；</w:t>
      </w:r>
    </w:p>
    <w:p w14:paraId="0FB02662">
      <w:pPr>
        <w:pStyle w:val="65"/>
        <w:numPr>
          <w:ilvl w:val="0"/>
          <w:numId w:val="25"/>
        </w:numPr>
        <w:rPr>
          <w:rFonts w:hint="eastAsia"/>
          <w:color w:val="000000"/>
          <w:highlight w:val="none"/>
        </w:rPr>
      </w:pPr>
      <w:r>
        <w:rPr>
          <w:rFonts w:hint="eastAsia"/>
          <w:color w:val="000000"/>
          <w:highlight w:val="none"/>
        </w:rPr>
        <w:t>审查储能系统（设置时）、无功补偿、继电保护、自动化、通信及监控系统等专项设计方案，重点评价其与光伏发电系统及电网接入要求的协调性；</w:t>
      </w:r>
    </w:p>
    <w:p w14:paraId="71C7BDD4">
      <w:pPr>
        <w:pStyle w:val="65"/>
        <w:numPr>
          <w:ilvl w:val="0"/>
          <w:numId w:val="25"/>
        </w:numPr>
        <w:rPr>
          <w:rFonts w:hint="eastAsia"/>
          <w:color w:val="000000"/>
          <w:highlight w:val="none"/>
        </w:rPr>
      </w:pPr>
      <w:r>
        <w:rPr>
          <w:rFonts w:hint="eastAsia"/>
          <w:color w:val="000000"/>
          <w:highlight w:val="none"/>
        </w:rPr>
        <w:t>审查消防、安全、职业健康、环境保护、水土保持、节能及防雷接地等专项设计内容，重点评价其符合国家及行业有关规定，并满足工程安全运行要求；</w:t>
      </w:r>
    </w:p>
    <w:p w14:paraId="4294E470">
      <w:pPr>
        <w:pStyle w:val="65"/>
        <w:numPr>
          <w:ilvl w:val="0"/>
          <w:numId w:val="25"/>
        </w:numPr>
        <w:rPr>
          <w:rFonts w:hint="eastAsia"/>
          <w:color w:val="000000"/>
          <w:highlight w:val="none"/>
        </w:rPr>
      </w:pPr>
      <w:r>
        <w:rPr>
          <w:rFonts w:hint="eastAsia"/>
          <w:color w:val="000000"/>
          <w:highlight w:val="none"/>
        </w:rPr>
        <w:t>审查重大设计方案的技术经济比选成果，重点评价设备选型、系统配置、施工方案及运维方案的经济性、可靠性和全寿命周期效益，并提出优化建议；</w:t>
      </w:r>
    </w:p>
    <w:p w14:paraId="2F964DB4">
      <w:pPr>
        <w:pStyle w:val="65"/>
        <w:numPr>
          <w:ilvl w:val="0"/>
          <w:numId w:val="25"/>
        </w:numPr>
        <w:rPr>
          <w:rFonts w:hint="eastAsia"/>
          <w:color w:val="000000"/>
          <w:highlight w:val="none"/>
        </w:rPr>
      </w:pPr>
      <w:r>
        <w:rPr>
          <w:rFonts w:hint="eastAsia"/>
          <w:color w:val="000000"/>
          <w:highlight w:val="none"/>
        </w:rPr>
        <w:t>审查新技术、新工艺、新设备、新材料的应用方案，重点评价其技术成熟度、安全可靠性、适用性及经济性，必要时协助委托方组织专题论证或专家评审；</w:t>
      </w:r>
    </w:p>
    <w:p w14:paraId="2FCC6E37">
      <w:pPr>
        <w:pStyle w:val="65"/>
        <w:numPr>
          <w:ilvl w:val="0"/>
          <w:numId w:val="25"/>
        </w:numPr>
        <w:rPr>
          <w:rFonts w:hint="eastAsia"/>
          <w:color w:val="000000"/>
          <w:highlight w:val="none"/>
        </w:rPr>
      </w:pPr>
      <w:r>
        <w:rPr>
          <w:rFonts w:hint="eastAsia"/>
          <w:color w:val="000000"/>
          <w:highlight w:val="none"/>
        </w:rPr>
        <w:t>审查工程概算成果，重点评价工程量、设备材料价格、费用构成、取费标准及主要技术经济指标的合理性，并分析设计方案对工程投资的影响；</w:t>
      </w:r>
    </w:p>
    <w:p w14:paraId="0BAC02FD">
      <w:pPr>
        <w:pStyle w:val="65"/>
        <w:numPr>
          <w:ilvl w:val="0"/>
          <w:numId w:val="25"/>
        </w:numPr>
        <w:rPr>
          <w:rFonts w:hint="eastAsia"/>
          <w:color w:val="000000"/>
          <w:highlight w:val="none"/>
        </w:rPr>
      </w:pPr>
      <w:r>
        <w:rPr>
          <w:rFonts w:hint="eastAsia"/>
          <w:color w:val="000000"/>
          <w:highlight w:val="none"/>
        </w:rPr>
        <w:t>审查初步设计成果的完整性、深度及专业协调情况，重点评价各专业接口、设计标准执行情况及数字化设计成果是否满足下一阶段设计和工程建设要求；</w:t>
      </w:r>
    </w:p>
    <w:p w14:paraId="506C7AE9">
      <w:pPr>
        <w:pStyle w:val="65"/>
        <w:numPr>
          <w:ilvl w:val="0"/>
          <w:numId w:val="25"/>
        </w:numPr>
        <w:rPr>
          <w:rFonts w:hint="eastAsia"/>
          <w:color w:val="000000"/>
          <w:highlight w:val="none"/>
        </w:rPr>
      </w:pPr>
      <w:r>
        <w:rPr>
          <w:rFonts w:hint="eastAsia"/>
          <w:color w:val="000000"/>
          <w:highlight w:val="none"/>
        </w:rPr>
        <w:t>对初步设计成果存在的问题、设计风险及需优化完善的内容提出咨询意见，形成初步设计咨询报告，为委托方设计决策提供依据。</w:t>
      </w:r>
    </w:p>
    <w:bookmarkEnd w:id="204"/>
    <w:p w14:paraId="63905FB9">
      <w:pPr>
        <w:pStyle w:val="51"/>
        <w:numPr>
          <w:ilvl w:val="2"/>
          <w:numId w:val="14"/>
        </w:numPr>
        <w:spacing w:before="120" w:after="120"/>
        <w:rPr>
          <w:rFonts w:hint="eastAsia"/>
          <w:color w:val="000000"/>
          <w:highlight w:val="none"/>
        </w:rPr>
      </w:pPr>
      <w:bookmarkStart w:id="205" w:name="_Toc8788"/>
      <w:bookmarkStart w:id="206" w:name="_Toc20825"/>
      <w:r>
        <w:rPr>
          <w:rFonts w:hint="eastAsia"/>
          <w:color w:val="000000"/>
          <w:highlight w:val="none"/>
        </w:rPr>
        <w:t>施工图设计咨询的主要内容</w:t>
      </w:r>
      <w:bookmarkEnd w:id="205"/>
    </w:p>
    <w:p w14:paraId="41A8FDAA">
      <w:pPr>
        <w:pStyle w:val="57"/>
        <w:numPr>
          <w:ilvl w:val="3"/>
          <w:numId w:val="14"/>
        </w:numPr>
        <w:rPr>
          <w:rFonts w:hint="eastAsia"/>
          <w:color w:val="000000"/>
          <w:highlight w:val="none"/>
        </w:rPr>
      </w:pPr>
      <w:r>
        <w:rPr>
          <w:rFonts w:hint="eastAsia"/>
          <w:color w:val="000000"/>
          <w:highlight w:val="none"/>
        </w:rPr>
        <w:t>协助委托单位选择本阶段设计单位。</w:t>
      </w:r>
    </w:p>
    <w:p w14:paraId="5F7CCD41">
      <w:pPr>
        <w:pStyle w:val="57"/>
        <w:numPr>
          <w:ilvl w:val="3"/>
          <w:numId w:val="14"/>
        </w:numPr>
        <w:rPr>
          <w:rFonts w:hint="eastAsia"/>
          <w:color w:val="000000"/>
          <w:highlight w:val="none"/>
        </w:rPr>
      </w:pPr>
      <w:r>
        <w:rPr>
          <w:rFonts w:hint="eastAsia"/>
          <w:color w:val="000000"/>
          <w:highlight w:val="none"/>
        </w:rPr>
        <w:t>审查主要设备招标文件中的技术规范书，参加主要设备设计联络会。</w:t>
      </w:r>
    </w:p>
    <w:p w14:paraId="57807C8A">
      <w:pPr>
        <w:pStyle w:val="57"/>
        <w:numPr>
          <w:ilvl w:val="3"/>
          <w:numId w:val="14"/>
        </w:numPr>
        <w:rPr>
          <w:rFonts w:hint="eastAsia"/>
          <w:color w:val="000000"/>
          <w:highlight w:val="none"/>
        </w:rPr>
      </w:pPr>
      <w:r>
        <w:rPr>
          <w:rFonts w:hint="eastAsia"/>
          <w:color w:val="000000"/>
          <w:highlight w:val="none"/>
        </w:rPr>
        <w:t>组织施工图总图设计文件审查。</w:t>
      </w:r>
    </w:p>
    <w:p w14:paraId="36620402">
      <w:pPr>
        <w:pStyle w:val="57"/>
        <w:numPr>
          <w:ilvl w:val="3"/>
          <w:numId w:val="14"/>
        </w:numPr>
        <w:rPr>
          <w:rFonts w:hint="eastAsia"/>
          <w:color w:val="000000"/>
          <w:highlight w:val="none"/>
        </w:rPr>
      </w:pPr>
      <w:r>
        <w:rPr>
          <w:rFonts w:hint="eastAsia"/>
          <w:color w:val="000000"/>
          <w:highlight w:val="none"/>
        </w:rPr>
        <w:t>审查施工图设计深度。</w:t>
      </w:r>
    </w:p>
    <w:p w14:paraId="483C23CE">
      <w:pPr>
        <w:pStyle w:val="57"/>
        <w:numPr>
          <w:ilvl w:val="3"/>
          <w:numId w:val="14"/>
        </w:numPr>
        <w:rPr>
          <w:rFonts w:hint="eastAsia"/>
          <w:color w:val="000000"/>
          <w:highlight w:val="none"/>
        </w:rPr>
      </w:pPr>
      <w:r>
        <w:rPr>
          <w:rFonts w:hint="eastAsia"/>
          <w:color w:val="000000"/>
          <w:highlight w:val="none"/>
        </w:rPr>
        <w:t>参加设计单位、设备材料供应商及有关单位召开的设计联络会。</w:t>
      </w:r>
    </w:p>
    <w:p w14:paraId="57A9E9F9">
      <w:pPr>
        <w:pStyle w:val="57"/>
        <w:numPr>
          <w:ilvl w:val="3"/>
          <w:numId w:val="14"/>
        </w:numPr>
        <w:rPr>
          <w:rFonts w:hint="eastAsia"/>
          <w:color w:val="000000"/>
          <w:highlight w:val="none"/>
        </w:rPr>
      </w:pPr>
      <w:r>
        <w:rPr>
          <w:rFonts w:hint="eastAsia"/>
          <w:color w:val="000000"/>
          <w:highlight w:val="none"/>
        </w:rPr>
        <w:t>组织施工图设计交底。</w:t>
      </w:r>
    </w:p>
    <w:p w14:paraId="538B9FAB">
      <w:pPr>
        <w:pStyle w:val="57"/>
        <w:numPr>
          <w:ilvl w:val="3"/>
          <w:numId w:val="14"/>
        </w:numPr>
        <w:rPr>
          <w:rFonts w:hint="eastAsia"/>
          <w:color w:val="000000"/>
          <w:highlight w:val="none"/>
        </w:rPr>
      </w:pPr>
      <w:r>
        <w:rPr>
          <w:rFonts w:hint="eastAsia"/>
          <w:color w:val="000000"/>
          <w:highlight w:val="none"/>
        </w:rPr>
        <w:t>施工设计文件评审的主要内容包括：</w:t>
      </w:r>
    </w:p>
    <w:p w14:paraId="1EAF5398">
      <w:pPr>
        <w:pStyle w:val="65"/>
        <w:numPr>
          <w:ilvl w:val="0"/>
          <w:numId w:val="26"/>
        </w:numPr>
        <w:rPr>
          <w:rFonts w:hint="eastAsia"/>
          <w:color w:val="000000"/>
          <w:highlight w:val="none"/>
        </w:rPr>
      </w:pPr>
      <w:r>
        <w:rPr>
          <w:rFonts w:hint="eastAsia"/>
          <w:color w:val="000000"/>
          <w:highlight w:val="none"/>
        </w:rPr>
        <w:t>审查施工图设计文件是否符合初步设计批复、国家及行业现行标准规范、工程建设强制性标准以及施工图设计深度要求，并满足工程施工、设备采购及运行维护需要；</w:t>
      </w:r>
    </w:p>
    <w:p w14:paraId="28F330BA">
      <w:pPr>
        <w:pStyle w:val="65"/>
        <w:numPr>
          <w:ilvl w:val="0"/>
          <w:numId w:val="26"/>
        </w:numPr>
        <w:rPr>
          <w:rFonts w:hint="eastAsia"/>
          <w:color w:val="000000"/>
          <w:highlight w:val="none"/>
        </w:rPr>
      </w:pPr>
      <w:r>
        <w:rPr>
          <w:rFonts w:hint="eastAsia"/>
          <w:color w:val="000000"/>
          <w:highlight w:val="none"/>
        </w:rPr>
        <w:t>审查施工图设计与项目核准（备案）文件、初步设计文件及相关专题报告的一致性，重点核查初步设计审查意见和优化措施的落实情况；</w:t>
      </w:r>
    </w:p>
    <w:p w14:paraId="764E5A7D">
      <w:pPr>
        <w:pStyle w:val="65"/>
        <w:numPr>
          <w:ilvl w:val="0"/>
          <w:numId w:val="26"/>
        </w:numPr>
        <w:rPr>
          <w:rFonts w:hint="eastAsia"/>
          <w:color w:val="000000"/>
          <w:highlight w:val="none"/>
        </w:rPr>
      </w:pPr>
      <w:r>
        <w:rPr>
          <w:rFonts w:hint="eastAsia"/>
          <w:color w:val="000000"/>
          <w:highlight w:val="none"/>
        </w:rPr>
        <w:t>审查光伏发电系统施工图，重点评价光伏阵列布置、组件安装、支架及基础、逆变器、箱式变电站、集电线路、升压站、送出工程及附属设施等施工图设计的完整性、合理性和可实施性；</w:t>
      </w:r>
    </w:p>
    <w:p w14:paraId="4E53E1B4">
      <w:pPr>
        <w:pStyle w:val="65"/>
        <w:numPr>
          <w:ilvl w:val="0"/>
          <w:numId w:val="26"/>
        </w:numPr>
        <w:rPr>
          <w:rFonts w:hint="eastAsia"/>
          <w:color w:val="000000"/>
          <w:highlight w:val="none"/>
        </w:rPr>
      </w:pPr>
      <w:r>
        <w:rPr>
          <w:rFonts w:hint="eastAsia"/>
          <w:color w:val="000000"/>
          <w:highlight w:val="none"/>
        </w:rPr>
        <w:t>审查主要设备及材料的技术参数、型号规格、接口条件及安装要求，重点核查光伏组件、逆变器、支架、箱式变电站、电缆、防雷接地等与设计方案及设备采购技术要求的一致性；</w:t>
      </w:r>
    </w:p>
    <w:p w14:paraId="55FC90F1">
      <w:pPr>
        <w:pStyle w:val="65"/>
        <w:numPr>
          <w:ilvl w:val="0"/>
          <w:numId w:val="26"/>
        </w:numPr>
        <w:rPr>
          <w:rFonts w:hint="eastAsia"/>
          <w:color w:val="000000"/>
          <w:highlight w:val="none"/>
        </w:rPr>
      </w:pPr>
      <w:r>
        <w:rPr>
          <w:rFonts w:hint="eastAsia"/>
          <w:color w:val="000000"/>
          <w:highlight w:val="none"/>
        </w:rPr>
        <w:t>审查土建、结构、电气、通信、自动化、消防、水工等各专业施工图之间的接口协调性，重点评价专业间设计衔接、施工配合及设计冲突情况，并提出优化建议；</w:t>
      </w:r>
    </w:p>
    <w:p w14:paraId="5423AFB5">
      <w:pPr>
        <w:pStyle w:val="65"/>
        <w:numPr>
          <w:ilvl w:val="0"/>
          <w:numId w:val="26"/>
        </w:numPr>
        <w:rPr>
          <w:rFonts w:hint="eastAsia"/>
          <w:color w:val="000000"/>
          <w:highlight w:val="none"/>
        </w:rPr>
      </w:pPr>
      <w:r>
        <w:rPr>
          <w:rFonts w:hint="eastAsia"/>
          <w:color w:val="000000"/>
          <w:highlight w:val="none"/>
        </w:rPr>
        <w:t>审查施工图设计的可施工性，重点评价基础施工、场区道路、排水系统、电缆敷设、设备运输安装及施工组织条件等是否满足工程建设要求；</w:t>
      </w:r>
    </w:p>
    <w:p w14:paraId="41D56DF3">
      <w:pPr>
        <w:pStyle w:val="65"/>
        <w:numPr>
          <w:ilvl w:val="0"/>
          <w:numId w:val="26"/>
        </w:numPr>
        <w:rPr>
          <w:rFonts w:hint="eastAsia"/>
          <w:color w:val="000000"/>
          <w:highlight w:val="none"/>
        </w:rPr>
      </w:pPr>
      <w:r>
        <w:rPr>
          <w:rFonts w:hint="eastAsia"/>
          <w:color w:val="000000"/>
          <w:highlight w:val="none"/>
        </w:rPr>
        <w:t>审查新技术、新工艺、新设备、新材料在施工图中的应用，重点评价其技术成熟性、安全可靠性、经济合理性及工程适用性，必要时提出专项咨询意见；</w:t>
      </w:r>
    </w:p>
    <w:p w14:paraId="588F5C40">
      <w:pPr>
        <w:pStyle w:val="65"/>
        <w:numPr>
          <w:ilvl w:val="0"/>
          <w:numId w:val="26"/>
        </w:numPr>
        <w:rPr>
          <w:rFonts w:hint="eastAsia"/>
          <w:color w:val="000000"/>
          <w:highlight w:val="none"/>
        </w:rPr>
      </w:pPr>
      <w:r>
        <w:rPr>
          <w:rFonts w:hint="eastAsia"/>
          <w:color w:val="000000"/>
          <w:highlight w:val="none"/>
        </w:rPr>
        <w:t>审查施工图设计的工程量、材料统计及主要技术经济指标，分析设计优化对工程投资、施工进度及运行维护的影响，并提出优化建议；</w:t>
      </w:r>
    </w:p>
    <w:p w14:paraId="171B585A">
      <w:pPr>
        <w:pStyle w:val="65"/>
        <w:numPr>
          <w:ilvl w:val="0"/>
          <w:numId w:val="26"/>
        </w:numPr>
        <w:spacing w:before="120" w:after="120"/>
        <w:rPr>
          <w:rFonts w:hint="eastAsia"/>
          <w:color w:val="000000"/>
          <w:highlight w:val="none"/>
        </w:rPr>
      </w:pPr>
      <w:r>
        <w:rPr>
          <w:rFonts w:hint="eastAsia"/>
          <w:color w:val="000000"/>
          <w:highlight w:val="none"/>
        </w:rPr>
        <w:t>协助委托方组织施工图设计审查、施工图会审及设计技术交底，协调设计单位对审查意见进行修改完善，并跟踪设计问题闭环落实；</w:t>
      </w:r>
    </w:p>
    <w:p w14:paraId="03EBD53C">
      <w:pPr>
        <w:pStyle w:val="65"/>
        <w:numPr>
          <w:ilvl w:val="0"/>
          <w:numId w:val="26"/>
        </w:numPr>
        <w:spacing w:before="120" w:after="120"/>
        <w:rPr>
          <w:rFonts w:hint="eastAsia"/>
          <w:color w:val="000000"/>
        </w:rPr>
      </w:pPr>
      <w:r>
        <w:rPr>
          <w:rFonts w:hint="eastAsia"/>
          <w:color w:val="000000"/>
          <w:highlight w:val="none"/>
        </w:rPr>
        <w:t>对施工图设计成果的完整性、准确性、协调性及实施风险进行综合评价，形成施工图设计咨询意见，为工程建设实施提供技术支撑。</w:t>
      </w:r>
      <w:bookmarkEnd w:id="206"/>
      <w:bookmarkStart w:id="207" w:name="_Toc16773"/>
    </w:p>
    <w:p w14:paraId="38FEFA33">
      <w:pPr>
        <w:pStyle w:val="51"/>
        <w:numPr>
          <w:ilvl w:val="2"/>
          <w:numId w:val="14"/>
        </w:numPr>
        <w:spacing w:before="120" w:after="120"/>
        <w:rPr>
          <w:rFonts w:hint="eastAsia"/>
          <w:color w:val="000000"/>
        </w:rPr>
      </w:pPr>
      <w:bookmarkStart w:id="208" w:name="_Toc6629"/>
      <w:r>
        <w:rPr>
          <w:rFonts w:hint="eastAsia"/>
          <w:color w:val="000000"/>
        </w:rPr>
        <w:t>竣工图设计咨询的主要内容</w:t>
      </w:r>
      <w:bookmarkEnd w:id="208"/>
    </w:p>
    <w:p w14:paraId="2429A92F">
      <w:pPr>
        <w:pStyle w:val="57"/>
        <w:numPr>
          <w:ilvl w:val="3"/>
          <w:numId w:val="14"/>
        </w:numPr>
        <w:rPr>
          <w:rFonts w:hint="eastAsia"/>
          <w:color w:val="000000"/>
        </w:rPr>
      </w:pPr>
      <w:r>
        <w:rPr>
          <w:rFonts w:hint="eastAsia"/>
          <w:color w:val="000000"/>
        </w:rPr>
        <w:t>审查竣工图编制方案的合理性、符合性。</w:t>
      </w:r>
    </w:p>
    <w:p w14:paraId="1CDBE4B0">
      <w:pPr>
        <w:pStyle w:val="57"/>
        <w:numPr>
          <w:ilvl w:val="3"/>
          <w:numId w:val="14"/>
        </w:numPr>
        <w:rPr>
          <w:color w:val="000000"/>
        </w:rPr>
      </w:pPr>
      <w:r>
        <w:rPr>
          <w:rFonts w:hint="eastAsia"/>
          <w:color w:val="000000"/>
        </w:rPr>
        <w:t>督促设计单位按期完成竣工图编制，并根据工程联系单、工程变更单等文件进行审查。</w:t>
      </w:r>
    </w:p>
    <w:p w14:paraId="62CE1BEA">
      <w:pPr>
        <w:pStyle w:val="57"/>
        <w:numPr>
          <w:ilvl w:val="3"/>
          <w:numId w:val="14"/>
        </w:numPr>
        <w:rPr>
          <w:rFonts w:hint="eastAsia"/>
          <w:color w:val="000000"/>
        </w:rPr>
      </w:pPr>
      <w:r>
        <w:rPr>
          <w:rFonts w:hint="eastAsia"/>
          <w:color w:val="000000"/>
        </w:rPr>
        <w:t>审查竣工图编制方案的合理性和合规性，核对资料清单完整性。</w:t>
      </w:r>
    </w:p>
    <w:p w14:paraId="6A057053">
      <w:pPr>
        <w:pStyle w:val="57"/>
        <w:numPr>
          <w:ilvl w:val="3"/>
          <w:numId w:val="14"/>
        </w:numPr>
        <w:rPr>
          <w:rFonts w:hint="eastAsia"/>
          <w:color w:val="000000"/>
        </w:rPr>
      </w:pPr>
      <w:r>
        <w:rPr>
          <w:rFonts w:hint="eastAsia"/>
          <w:color w:val="000000"/>
        </w:rPr>
        <w:t>督促设计单位依据工程变更单、联系单和实际施工资料及时编制竣工图，应与施工情况一致。</w:t>
      </w:r>
    </w:p>
    <w:p w14:paraId="43CDF9A7">
      <w:pPr>
        <w:pStyle w:val="57"/>
        <w:numPr>
          <w:ilvl w:val="3"/>
          <w:numId w:val="14"/>
        </w:numPr>
        <w:rPr>
          <w:rFonts w:hint="eastAsia"/>
          <w:color w:val="000000"/>
        </w:rPr>
      </w:pPr>
      <w:r>
        <w:rPr>
          <w:rFonts w:hint="eastAsia"/>
          <w:color w:val="000000"/>
        </w:rPr>
        <w:t>审查竣工图与初设、施工图设计的一致性，重点关注重要设备参数、基础尺寸、线路走向等实建差异。</w:t>
      </w:r>
    </w:p>
    <w:p w14:paraId="6856CE64">
      <w:pPr>
        <w:pStyle w:val="57"/>
        <w:numPr>
          <w:ilvl w:val="3"/>
          <w:numId w:val="14"/>
        </w:numPr>
        <w:rPr>
          <w:color w:val="000000"/>
        </w:rPr>
      </w:pPr>
      <w:r>
        <w:rPr>
          <w:rFonts w:hint="eastAsia"/>
          <w:color w:val="000000"/>
        </w:rPr>
        <w:t>指导设计单位完成竣工图电子化交付，形成完整的工程档案。</w:t>
      </w:r>
      <w:bookmarkEnd w:id="207"/>
    </w:p>
    <w:p w14:paraId="73AF498B">
      <w:pPr>
        <w:pStyle w:val="49"/>
        <w:numPr>
          <w:ilvl w:val="1"/>
          <w:numId w:val="14"/>
        </w:numPr>
        <w:spacing w:before="240" w:after="240"/>
        <w:rPr>
          <w:color w:val="000000"/>
        </w:rPr>
      </w:pPr>
      <w:bookmarkStart w:id="209" w:name="_Toc3377"/>
      <w:bookmarkStart w:id="210" w:name="_Toc155628787"/>
      <w:bookmarkStart w:id="211" w:name="_Toc155604563"/>
      <w:bookmarkStart w:id="212" w:name="_Toc155628724"/>
      <w:bookmarkStart w:id="213" w:name="_Toc155714283"/>
      <w:bookmarkStart w:id="214" w:name="_Toc155714343"/>
      <w:bookmarkStart w:id="215" w:name="_Toc287"/>
      <w:r>
        <w:rPr>
          <w:rFonts w:hint="eastAsia"/>
          <w:color w:val="000000"/>
        </w:rPr>
        <w:t>勘察设计</w:t>
      </w:r>
      <w:bookmarkEnd w:id="209"/>
    </w:p>
    <w:p w14:paraId="3FBB37B4">
      <w:pPr>
        <w:pStyle w:val="51"/>
        <w:numPr>
          <w:ilvl w:val="2"/>
          <w:numId w:val="14"/>
        </w:numPr>
        <w:spacing w:before="120" w:after="120"/>
        <w:rPr>
          <w:rFonts w:hint="eastAsia"/>
          <w:color w:val="000000"/>
        </w:rPr>
      </w:pPr>
      <w:bookmarkStart w:id="216" w:name="_Toc5507"/>
      <w:r>
        <w:rPr>
          <w:rFonts w:hint="eastAsia"/>
          <w:color w:val="000000"/>
        </w:rPr>
        <w:t>一般规定</w:t>
      </w:r>
      <w:bookmarkEnd w:id="216"/>
    </w:p>
    <w:p w14:paraId="225264ED">
      <w:pPr>
        <w:pStyle w:val="57"/>
        <w:numPr>
          <w:ilvl w:val="3"/>
          <w:numId w:val="14"/>
        </w:numPr>
        <w:rPr>
          <w:rFonts w:hint="eastAsia"/>
          <w:color w:val="000000"/>
        </w:rPr>
      </w:pPr>
      <w:r>
        <w:rPr>
          <w:rFonts w:hint="eastAsia"/>
          <w:color w:val="000000"/>
        </w:rPr>
        <w:t>在工程勘察设计阶段，咨询机构可依据全过程工程咨询合同，从事光伏发电工程勘察设计。</w:t>
      </w:r>
    </w:p>
    <w:p w14:paraId="0B9829D2">
      <w:pPr>
        <w:pStyle w:val="57"/>
        <w:numPr>
          <w:ilvl w:val="3"/>
          <w:numId w:val="14"/>
        </w:numPr>
        <w:rPr>
          <w:rFonts w:hint="eastAsia"/>
          <w:color w:val="000000"/>
        </w:rPr>
      </w:pPr>
      <w:r>
        <w:rPr>
          <w:rFonts w:hint="eastAsia"/>
          <w:color w:val="000000"/>
        </w:rPr>
        <w:t>工程勘察设计主要包括勘察阶段、初步设计阶段、施工图设计阶段、竣工图设计阶段工作。</w:t>
      </w:r>
    </w:p>
    <w:p w14:paraId="30EFE2B8">
      <w:pPr>
        <w:pStyle w:val="57"/>
        <w:numPr>
          <w:ilvl w:val="3"/>
          <w:numId w:val="14"/>
        </w:numPr>
        <w:rPr>
          <w:rFonts w:hint="eastAsia"/>
          <w:color w:val="000000"/>
        </w:rPr>
      </w:pPr>
      <w:r>
        <w:rPr>
          <w:rFonts w:hint="eastAsia"/>
          <w:color w:val="000000"/>
        </w:rPr>
        <w:t>勘察设计工作可由一家或多家具有相应资质和能力的单位承担，多家单位共同承担时，应明确一家为总体设计单位，负责总体协调与成果统一。</w:t>
      </w:r>
    </w:p>
    <w:p w14:paraId="521940CE">
      <w:pPr>
        <w:pStyle w:val="57"/>
        <w:numPr>
          <w:ilvl w:val="3"/>
          <w:numId w:val="14"/>
        </w:numPr>
        <w:rPr>
          <w:rFonts w:hint="eastAsia"/>
          <w:color w:val="000000"/>
        </w:rPr>
      </w:pPr>
      <w:r>
        <w:rPr>
          <w:rFonts w:hint="eastAsia"/>
          <w:color w:val="000000"/>
        </w:rPr>
        <w:t>根据项目管理、造价咨询、设备监理、招标采购等要求配合提供相关的勘察设计文件，提供必要的技术支持，并根据相关咨询人员反馈对工程勘察设计文件进行合理优化。</w:t>
      </w:r>
    </w:p>
    <w:p w14:paraId="04585A96">
      <w:pPr>
        <w:pStyle w:val="57"/>
        <w:numPr>
          <w:ilvl w:val="3"/>
          <w:numId w:val="14"/>
        </w:numPr>
        <w:rPr>
          <w:rFonts w:hint="eastAsia"/>
          <w:color w:val="000000"/>
        </w:rPr>
      </w:pPr>
      <w:r>
        <w:rPr>
          <w:rFonts w:hint="eastAsia"/>
          <w:color w:val="000000"/>
        </w:rPr>
        <w:t>工程勘察设计工作应充分考虑数字化设计等要求。</w:t>
      </w:r>
    </w:p>
    <w:p w14:paraId="39A2E7B2">
      <w:pPr>
        <w:pStyle w:val="57"/>
        <w:numPr>
          <w:ilvl w:val="3"/>
          <w:numId w:val="14"/>
        </w:numPr>
        <w:rPr>
          <w:rFonts w:hint="eastAsia"/>
          <w:color w:val="000000"/>
        </w:rPr>
      </w:pPr>
      <w:r>
        <w:rPr>
          <w:rFonts w:hint="eastAsia"/>
          <w:color w:val="000000"/>
        </w:rPr>
        <w:t>工程勘察设计工作应关注设计进度，当设计进度不满足工程进度实施计划时，应及时采取纠偏措施。</w:t>
      </w:r>
    </w:p>
    <w:p w14:paraId="31450EB0">
      <w:pPr>
        <w:pStyle w:val="57"/>
        <w:numPr>
          <w:ilvl w:val="3"/>
          <w:numId w:val="14"/>
        </w:numPr>
        <w:rPr>
          <w:rFonts w:hint="eastAsia"/>
          <w:color w:val="000000"/>
        </w:rPr>
      </w:pPr>
      <w:r>
        <w:rPr>
          <w:rFonts w:hint="eastAsia"/>
          <w:color w:val="000000"/>
        </w:rPr>
        <w:t>勘察设计单位应编制工程勘察设计计划文件，明确各阶段工作内容、接口分工和成果交付要求。</w:t>
      </w:r>
    </w:p>
    <w:p w14:paraId="77DA36CA">
      <w:pPr>
        <w:pStyle w:val="57"/>
        <w:numPr>
          <w:ilvl w:val="3"/>
          <w:numId w:val="14"/>
        </w:numPr>
        <w:rPr>
          <w:rFonts w:hint="eastAsia"/>
          <w:color w:val="000000"/>
        </w:rPr>
      </w:pPr>
      <w:r>
        <w:rPr>
          <w:rFonts w:hint="eastAsia"/>
          <w:color w:val="000000"/>
        </w:rPr>
        <w:t>勘察设计各阶段的文件内容和深度应符合现行国家和行业标准规定，同时应结合光伏场址特性，补充专项设计要求。</w:t>
      </w:r>
    </w:p>
    <w:p w14:paraId="1C9F3B5C">
      <w:pPr>
        <w:pStyle w:val="51"/>
        <w:numPr>
          <w:ilvl w:val="2"/>
          <w:numId w:val="14"/>
        </w:numPr>
        <w:spacing w:before="120" w:after="120"/>
        <w:rPr>
          <w:rFonts w:hint="eastAsia"/>
          <w:color w:val="000000"/>
        </w:rPr>
      </w:pPr>
      <w:bookmarkStart w:id="217" w:name="_Toc17756"/>
      <w:r>
        <w:rPr>
          <w:rFonts w:hint="eastAsia"/>
          <w:color w:val="000000"/>
        </w:rPr>
        <w:t>勘察设计主要工作</w:t>
      </w:r>
      <w:bookmarkEnd w:id="217"/>
    </w:p>
    <w:p w14:paraId="60022FB9">
      <w:pPr>
        <w:pStyle w:val="58"/>
        <w:numPr>
          <w:ilvl w:val="3"/>
          <w:numId w:val="14"/>
        </w:numPr>
        <w:spacing w:before="120" w:after="120"/>
        <w:rPr>
          <w:rFonts w:hint="eastAsia"/>
          <w:color w:val="000000"/>
        </w:rPr>
      </w:pPr>
      <w:r>
        <w:rPr>
          <w:rFonts w:hint="eastAsia"/>
          <w:color w:val="000000"/>
        </w:rPr>
        <w:t>勘察阶段主要工作</w:t>
      </w:r>
    </w:p>
    <w:p w14:paraId="567471D4">
      <w:pPr>
        <w:pStyle w:val="66"/>
        <w:numPr>
          <w:ilvl w:val="4"/>
          <w:numId w:val="14"/>
        </w:numPr>
        <w:rPr>
          <w:rFonts w:hint="eastAsia"/>
          <w:color w:val="000000"/>
        </w:rPr>
      </w:pPr>
      <w:r>
        <w:rPr>
          <w:rFonts w:hint="eastAsia"/>
          <w:color w:val="000000"/>
        </w:rPr>
        <w:t>工程勘察包括初步勘察、详细勘察和施工勘察，应根据合同约定为委托方提供专项勘察成果。</w:t>
      </w:r>
    </w:p>
    <w:p w14:paraId="3644C5F5">
      <w:pPr>
        <w:pStyle w:val="66"/>
        <w:numPr>
          <w:ilvl w:val="4"/>
          <w:numId w:val="14"/>
        </w:numPr>
        <w:rPr>
          <w:rFonts w:hint="eastAsia"/>
          <w:color w:val="000000"/>
        </w:rPr>
      </w:pPr>
      <w:r>
        <w:rPr>
          <w:rFonts w:hint="eastAsia"/>
          <w:color w:val="000000"/>
        </w:rPr>
        <w:t>根据可研报告及批复等项目资料编制工程勘察任务书。</w:t>
      </w:r>
    </w:p>
    <w:p w14:paraId="6DE316A6">
      <w:pPr>
        <w:pStyle w:val="66"/>
        <w:numPr>
          <w:ilvl w:val="4"/>
          <w:numId w:val="14"/>
        </w:numPr>
        <w:rPr>
          <w:rFonts w:hint="eastAsia"/>
          <w:color w:val="000000"/>
        </w:rPr>
      </w:pPr>
      <w:r>
        <w:rPr>
          <w:rFonts w:hint="eastAsia"/>
          <w:color w:val="000000"/>
        </w:rPr>
        <w:t>工程勘察任务书应说明勘察范围、建（构）筑物类型和特点、对应设计阶段的勘察任务具体内容及技术要求。</w:t>
      </w:r>
    </w:p>
    <w:p w14:paraId="72C183A6">
      <w:pPr>
        <w:pStyle w:val="66"/>
        <w:numPr>
          <w:ilvl w:val="4"/>
          <w:numId w:val="14"/>
        </w:numPr>
        <w:rPr>
          <w:rFonts w:hint="eastAsia"/>
          <w:color w:val="000000"/>
        </w:rPr>
      </w:pPr>
      <w:r>
        <w:rPr>
          <w:rFonts w:hint="eastAsia"/>
          <w:color w:val="000000"/>
        </w:rPr>
        <w:t>开展勘察成果文件编制应符合勘察深度及标准要求。</w:t>
      </w:r>
    </w:p>
    <w:p w14:paraId="287ABB49">
      <w:pPr>
        <w:pStyle w:val="66"/>
        <w:numPr>
          <w:ilvl w:val="4"/>
          <w:numId w:val="14"/>
        </w:numPr>
        <w:rPr>
          <w:rFonts w:hint="eastAsia"/>
          <w:color w:val="000000"/>
        </w:rPr>
      </w:pPr>
      <w:r>
        <w:rPr>
          <w:rFonts w:hint="eastAsia"/>
          <w:color w:val="000000"/>
        </w:rPr>
        <w:t>勘察成果文件应根据工程需要，通过相关单位的审查。</w:t>
      </w:r>
    </w:p>
    <w:p w14:paraId="3646C169">
      <w:pPr>
        <w:pStyle w:val="66"/>
        <w:numPr>
          <w:ilvl w:val="4"/>
          <w:numId w:val="14"/>
        </w:numPr>
        <w:rPr>
          <w:rFonts w:hint="eastAsia"/>
          <w:color w:val="000000"/>
        </w:rPr>
      </w:pPr>
      <w:r>
        <w:rPr>
          <w:rFonts w:hint="eastAsia"/>
          <w:color w:val="000000"/>
        </w:rPr>
        <w:t>勘察应查明光伏场址的地形地貌、地层结构、地基稳定性、地下水条件及不良地质作用，识别滑坡、泥石流、地裂缝、盐渍土、腐蚀性土等风险。</w:t>
      </w:r>
    </w:p>
    <w:p w14:paraId="6C6CF7D8">
      <w:pPr>
        <w:pStyle w:val="66"/>
        <w:numPr>
          <w:ilvl w:val="4"/>
          <w:numId w:val="14"/>
        </w:numPr>
        <w:rPr>
          <w:rFonts w:hint="eastAsia"/>
          <w:color w:val="000000"/>
        </w:rPr>
      </w:pPr>
      <w:r>
        <w:rPr>
          <w:rFonts w:hint="eastAsia"/>
          <w:color w:val="000000"/>
        </w:rPr>
        <w:t>提供支架与基础设计所需的岩土参数，确定地基承载力、预测变形，必要时进行拉拔、静载、动载等试验。</w:t>
      </w:r>
    </w:p>
    <w:p w14:paraId="0FB3A6C6">
      <w:pPr>
        <w:pStyle w:val="66"/>
        <w:numPr>
          <w:ilvl w:val="4"/>
          <w:numId w:val="14"/>
        </w:numPr>
        <w:rPr>
          <w:rFonts w:hint="eastAsia"/>
          <w:color w:val="000000"/>
        </w:rPr>
      </w:pPr>
      <w:r>
        <w:rPr>
          <w:rFonts w:hint="eastAsia"/>
          <w:color w:val="000000"/>
        </w:rPr>
        <w:t>根据光伏发电站相关规范标准要求进行地震效应评价，并分析地震动对支架基础和组件安全的影响。</w:t>
      </w:r>
    </w:p>
    <w:p w14:paraId="45EF0159">
      <w:pPr>
        <w:pStyle w:val="66"/>
        <w:numPr>
          <w:ilvl w:val="4"/>
          <w:numId w:val="14"/>
        </w:numPr>
        <w:rPr>
          <w:rFonts w:hint="eastAsia"/>
          <w:color w:val="000000"/>
        </w:rPr>
      </w:pPr>
      <w:r>
        <w:rPr>
          <w:rFonts w:hint="eastAsia"/>
          <w:color w:val="000000"/>
        </w:rPr>
        <w:t>结合工程需要，编制水文地质、风沙、盐雾、洪涝等专项勘察报告，必要时增加渔光、漂浮光伏的水文及水下地形测绘。</w:t>
      </w:r>
    </w:p>
    <w:p w14:paraId="2038AACF">
      <w:pPr>
        <w:pStyle w:val="66"/>
        <w:numPr>
          <w:ilvl w:val="4"/>
          <w:numId w:val="14"/>
        </w:numPr>
        <w:rPr>
          <w:rFonts w:hint="eastAsia"/>
          <w:color w:val="000000"/>
        </w:rPr>
      </w:pPr>
      <w:r>
        <w:rPr>
          <w:rFonts w:hint="eastAsia"/>
          <w:color w:val="000000"/>
        </w:rPr>
        <w:t>勘察成果文件应符合深度要求，并经委托方组织审查、验收。</w:t>
      </w:r>
    </w:p>
    <w:p w14:paraId="08259D16">
      <w:pPr>
        <w:pStyle w:val="58"/>
        <w:numPr>
          <w:ilvl w:val="3"/>
          <w:numId w:val="14"/>
        </w:numPr>
        <w:spacing w:before="120" w:after="120"/>
        <w:rPr>
          <w:rFonts w:hint="eastAsia"/>
          <w:color w:val="000000"/>
        </w:rPr>
      </w:pPr>
      <w:r>
        <w:rPr>
          <w:rFonts w:hint="eastAsia"/>
          <w:color w:val="000000"/>
        </w:rPr>
        <w:t>初步设计阶段主要工作</w:t>
      </w:r>
    </w:p>
    <w:p w14:paraId="165A63C8">
      <w:pPr>
        <w:pStyle w:val="66"/>
        <w:numPr>
          <w:ilvl w:val="4"/>
          <w:numId w:val="14"/>
        </w:numPr>
        <w:rPr>
          <w:rFonts w:hint="eastAsia"/>
          <w:color w:val="000000"/>
        </w:rPr>
      </w:pPr>
      <w:r>
        <w:rPr>
          <w:rFonts w:hint="eastAsia"/>
          <w:color w:val="000000"/>
        </w:rPr>
        <w:t>初步设计阶段主要</w:t>
      </w:r>
      <w:r>
        <w:rPr>
          <w:rFonts w:hint="eastAsia"/>
          <w:color w:val="000000"/>
          <w:lang w:val="en-US" w:eastAsia="zh-CN"/>
        </w:rPr>
        <w:t>工作</w:t>
      </w:r>
      <w:r>
        <w:rPr>
          <w:rFonts w:hint="eastAsia"/>
          <w:color w:val="000000"/>
        </w:rPr>
        <w:t>内容：</w:t>
      </w:r>
    </w:p>
    <w:p w14:paraId="4C0325C9">
      <w:pPr>
        <w:pStyle w:val="65"/>
        <w:numPr>
          <w:ilvl w:val="0"/>
          <w:numId w:val="27"/>
        </w:numPr>
        <w:rPr>
          <w:rFonts w:hint="eastAsia"/>
          <w:color w:val="000000"/>
        </w:rPr>
      </w:pPr>
      <w:r>
        <w:rPr>
          <w:rFonts w:hint="eastAsia"/>
          <w:color w:val="000000"/>
        </w:rPr>
        <w:t>根据可行性研究报告批复（或项目核准、备案文件）、勘察成果及相关技术标准，完成光伏发电工程初步设计文件编制，并满足国家及行业现行标准规定的设计深度要求；</w:t>
      </w:r>
    </w:p>
    <w:p w14:paraId="36ACADCF">
      <w:pPr>
        <w:pStyle w:val="65"/>
        <w:numPr>
          <w:ilvl w:val="0"/>
          <w:numId w:val="27"/>
        </w:numPr>
        <w:rPr>
          <w:rFonts w:hint="eastAsia"/>
          <w:color w:val="000000"/>
        </w:rPr>
      </w:pPr>
      <w:r>
        <w:rPr>
          <w:rFonts w:hint="eastAsia"/>
          <w:color w:val="000000"/>
        </w:rPr>
        <w:t>开展光伏发电工程总体方案设计，完成站区总平面布置、光伏阵列布置、场区道路、排水系统及附属设施等设计工作，确保总体布局合理、经济、可实施；</w:t>
      </w:r>
    </w:p>
    <w:p w14:paraId="41E860D2">
      <w:pPr>
        <w:pStyle w:val="65"/>
        <w:numPr>
          <w:ilvl w:val="0"/>
          <w:numId w:val="27"/>
        </w:numPr>
        <w:rPr>
          <w:rFonts w:hint="eastAsia"/>
          <w:color w:val="000000"/>
        </w:rPr>
      </w:pPr>
      <w:r>
        <w:rPr>
          <w:rFonts w:hint="eastAsia"/>
          <w:color w:val="000000"/>
        </w:rPr>
        <w:t>完成光伏组件、支架、基础、逆变器、箱式变电站、集电线路、升压站、送出工程及其他主要系统的方案设计和技术比选，确定主要设备技术参数及系统配置；</w:t>
      </w:r>
    </w:p>
    <w:p w14:paraId="0F2384C5">
      <w:pPr>
        <w:pStyle w:val="65"/>
        <w:numPr>
          <w:ilvl w:val="0"/>
          <w:numId w:val="27"/>
        </w:numPr>
        <w:rPr>
          <w:rFonts w:hint="eastAsia"/>
          <w:color w:val="000000"/>
        </w:rPr>
      </w:pPr>
      <w:r>
        <w:rPr>
          <w:rFonts w:hint="eastAsia"/>
          <w:color w:val="000000"/>
        </w:rPr>
        <w:t>根据勘察成果完成支架基础、建（构）筑物基础及地基处理设计，合理确定基础型式和结构方案，并保证设计安全可靠、经济合理；</w:t>
      </w:r>
    </w:p>
    <w:p w14:paraId="0E2E103C">
      <w:pPr>
        <w:pStyle w:val="65"/>
        <w:numPr>
          <w:ilvl w:val="0"/>
          <w:numId w:val="27"/>
        </w:numPr>
        <w:rPr>
          <w:rFonts w:hint="eastAsia"/>
          <w:color w:val="000000"/>
        </w:rPr>
      </w:pPr>
      <w:r>
        <w:rPr>
          <w:rFonts w:hint="eastAsia"/>
          <w:color w:val="000000"/>
        </w:rPr>
        <w:t>开展发电量计算及系统性能分析，合理选取光资源参数，完成容配比、阴影分析、系统效率、发电量预测及限电消纳分析，为项目经济评价提供设计依据；</w:t>
      </w:r>
    </w:p>
    <w:p w14:paraId="635CB08F">
      <w:pPr>
        <w:pStyle w:val="65"/>
        <w:numPr>
          <w:ilvl w:val="0"/>
          <w:numId w:val="27"/>
        </w:numPr>
        <w:rPr>
          <w:rFonts w:hint="eastAsia"/>
          <w:color w:val="000000"/>
        </w:rPr>
      </w:pPr>
      <w:r>
        <w:rPr>
          <w:rFonts w:hint="eastAsia"/>
          <w:color w:val="000000"/>
        </w:rPr>
        <w:t>完成储能系统（设置时）、无功补偿、继电保护、自动化、通信及监控系统等专项设计，并确保各系统之间接口协调、运行可靠；</w:t>
      </w:r>
    </w:p>
    <w:p w14:paraId="4A9CF382">
      <w:pPr>
        <w:pStyle w:val="65"/>
        <w:numPr>
          <w:ilvl w:val="0"/>
          <w:numId w:val="27"/>
        </w:numPr>
        <w:rPr>
          <w:rFonts w:hint="eastAsia"/>
          <w:color w:val="000000"/>
        </w:rPr>
      </w:pPr>
      <w:r>
        <w:rPr>
          <w:rFonts w:hint="eastAsia"/>
          <w:color w:val="000000"/>
        </w:rPr>
        <w:t>按照国家及行业有关规定完成消防、安全、防雷接地、职业健康、环境保护、水土保持、节能等专项设计，并满足工程建设及安全运行要求；</w:t>
      </w:r>
    </w:p>
    <w:p w14:paraId="00E0AA2A">
      <w:pPr>
        <w:pStyle w:val="65"/>
        <w:numPr>
          <w:ilvl w:val="0"/>
          <w:numId w:val="27"/>
        </w:numPr>
        <w:rPr>
          <w:rFonts w:hint="eastAsia"/>
          <w:color w:val="000000"/>
        </w:rPr>
      </w:pPr>
      <w:r>
        <w:rPr>
          <w:rFonts w:hint="eastAsia"/>
          <w:color w:val="000000"/>
        </w:rPr>
        <w:t>开展重大设计方案技术经济比较，结合工程特点优化设计方案，提高工程安全性、可靠性及全寿命周期经济性；</w:t>
      </w:r>
    </w:p>
    <w:p w14:paraId="619ED955">
      <w:pPr>
        <w:pStyle w:val="65"/>
        <w:numPr>
          <w:ilvl w:val="0"/>
          <w:numId w:val="27"/>
        </w:numPr>
        <w:rPr>
          <w:rFonts w:hint="eastAsia"/>
          <w:color w:val="000000"/>
        </w:rPr>
      </w:pPr>
      <w:r>
        <w:rPr>
          <w:rFonts w:hint="eastAsia"/>
          <w:color w:val="000000"/>
        </w:rPr>
        <w:t>合理采用新技术、新工艺、新设备、新材料，开展技术适用性分析，必要时配合完成专题论证或技术鉴定工作；</w:t>
      </w:r>
    </w:p>
    <w:p w14:paraId="774700FF">
      <w:pPr>
        <w:pStyle w:val="65"/>
        <w:numPr>
          <w:ilvl w:val="0"/>
          <w:numId w:val="27"/>
        </w:numPr>
        <w:rPr>
          <w:rFonts w:hint="eastAsia"/>
          <w:color w:val="000000"/>
        </w:rPr>
      </w:pPr>
      <w:r>
        <w:rPr>
          <w:rFonts w:hint="eastAsia"/>
          <w:color w:val="000000"/>
        </w:rPr>
        <w:t>编制工程概算及主要技术经济指标，分析主要设计方案对工程投资的影响，合理控制工程造价；</w:t>
      </w:r>
    </w:p>
    <w:p w14:paraId="46DF3D19">
      <w:pPr>
        <w:pStyle w:val="65"/>
        <w:numPr>
          <w:ilvl w:val="0"/>
          <w:numId w:val="27"/>
        </w:numPr>
        <w:rPr>
          <w:rFonts w:hint="eastAsia"/>
          <w:color w:val="000000"/>
        </w:rPr>
      </w:pPr>
      <w:r>
        <w:rPr>
          <w:rFonts w:hint="eastAsia"/>
          <w:color w:val="000000"/>
        </w:rPr>
        <w:t>完成各专业设计接口协调和设计成果校核，保证各专业设计之间协调一致，设计文件完整、准确，并满足施工图设计输入要求；</w:t>
      </w:r>
    </w:p>
    <w:p w14:paraId="2538DCC5">
      <w:pPr>
        <w:pStyle w:val="65"/>
        <w:numPr>
          <w:ilvl w:val="0"/>
          <w:numId w:val="27"/>
        </w:numPr>
        <w:rPr>
          <w:rFonts w:hint="eastAsia"/>
          <w:color w:val="000000"/>
        </w:rPr>
      </w:pPr>
      <w:r>
        <w:rPr>
          <w:rFonts w:hint="eastAsia"/>
          <w:color w:val="000000"/>
        </w:rPr>
        <w:t>配合委托方及全过程工程咨询单位开展初步设计评审，对审查意见及时进行修改完善，形成最终初步设计成果文件。</w:t>
      </w:r>
    </w:p>
    <w:p w14:paraId="6C4DDA3C">
      <w:pPr>
        <w:pStyle w:val="66"/>
        <w:numPr>
          <w:ilvl w:val="4"/>
          <w:numId w:val="14"/>
        </w:numPr>
        <w:rPr>
          <w:rFonts w:hint="eastAsia"/>
          <w:color w:val="000000"/>
        </w:rPr>
      </w:pPr>
      <w:r>
        <w:rPr>
          <w:rFonts w:hint="eastAsia"/>
          <w:color w:val="000000"/>
        </w:rPr>
        <w:t>初步设计文件编制符合以下要求：</w:t>
      </w:r>
    </w:p>
    <w:p w14:paraId="17A1737F">
      <w:pPr>
        <w:pStyle w:val="65"/>
        <w:numPr>
          <w:ilvl w:val="0"/>
          <w:numId w:val="28"/>
        </w:numPr>
        <w:rPr>
          <w:rFonts w:hint="eastAsia"/>
          <w:color w:val="000000"/>
        </w:rPr>
      </w:pPr>
      <w:r>
        <w:rPr>
          <w:rFonts w:hint="eastAsia"/>
          <w:color w:val="000000"/>
        </w:rPr>
        <w:t>初步设计文件应符合国家及行业现行法律法规、技术标准和工程建设强制性标准的规定，并满足项目核准（备案）文件、可行性研究报告批复及合同约定的要求；</w:t>
      </w:r>
    </w:p>
    <w:p w14:paraId="535B5C5A">
      <w:pPr>
        <w:pStyle w:val="65"/>
        <w:numPr>
          <w:ilvl w:val="0"/>
          <w:numId w:val="28"/>
        </w:numPr>
        <w:rPr>
          <w:rFonts w:hint="eastAsia"/>
          <w:color w:val="000000"/>
        </w:rPr>
      </w:pPr>
      <w:r>
        <w:rPr>
          <w:rFonts w:hint="eastAsia"/>
          <w:color w:val="000000"/>
        </w:rPr>
        <w:t>初步设计文件应达到规定的设计深度，内容完整、资料齐全，各专业设计成果协调一致，能够满足设备采购、施工图设计、工程概算编制及工程实施的要求；</w:t>
      </w:r>
    </w:p>
    <w:p w14:paraId="6BD1B99F">
      <w:pPr>
        <w:pStyle w:val="65"/>
        <w:numPr>
          <w:ilvl w:val="0"/>
          <w:numId w:val="28"/>
        </w:numPr>
        <w:rPr>
          <w:rFonts w:hint="eastAsia"/>
          <w:color w:val="000000"/>
        </w:rPr>
      </w:pPr>
      <w:r>
        <w:rPr>
          <w:rFonts w:hint="eastAsia"/>
          <w:color w:val="000000"/>
        </w:rPr>
        <w:t>光伏发电系统设计应结合场址光资源、气象条件、地形地貌、岩土工程及电网接入条件，合理确定装机容量、光伏阵列布置、容配比、设备选型及系统配置方案；</w:t>
      </w:r>
    </w:p>
    <w:p w14:paraId="060622FE">
      <w:pPr>
        <w:pStyle w:val="65"/>
        <w:numPr>
          <w:ilvl w:val="0"/>
          <w:numId w:val="28"/>
        </w:numPr>
        <w:rPr>
          <w:rFonts w:hint="eastAsia"/>
          <w:color w:val="000000"/>
        </w:rPr>
      </w:pPr>
      <w:r>
        <w:rPr>
          <w:rFonts w:hint="eastAsia"/>
          <w:color w:val="000000"/>
        </w:rPr>
        <w:t>光伏组件、支架、基础、逆变器、箱式变电站、集电线路、升压站及送出工程等主要系统设计应技术先进、安全可靠、经济合理，并满足运行维护要求；</w:t>
      </w:r>
    </w:p>
    <w:p w14:paraId="36FB4705">
      <w:pPr>
        <w:pStyle w:val="65"/>
        <w:numPr>
          <w:ilvl w:val="0"/>
          <w:numId w:val="28"/>
        </w:numPr>
        <w:rPr>
          <w:rFonts w:hint="eastAsia"/>
          <w:color w:val="000000"/>
        </w:rPr>
      </w:pPr>
      <w:r>
        <w:rPr>
          <w:rFonts w:hint="eastAsia"/>
          <w:color w:val="000000"/>
        </w:rPr>
        <w:t>发电量计算应采用合理的计算模型及基础数据，充分考虑光资源条件、系统损耗、设备性能、阴影遮挡、衰减、限电及可利用率等因素，计算过程和成果应完整、准确；</w:t>
      </w:r>
    </w:p>
    <w:p w14:paraId="69B66A58">
      <w:pPr>
        <w:pStyle w:val="65"/>
        <w:numPr>
          <w:ilvl w:val="0"/>
          <w:numId w:val="28"/>
        </w:numPr>
        <w:rPr>
          <w:rFonts w:hint="eastAsia"/>
          <w:color w:val="000000"/>
        </w:rPr>
      </w:pPr>
      <w:r>
        <w:rPr>
          <w:rFonts w:hint="eastAsia"/>
          <w:color w:val="000000"/>
        </w:rPr>
        <w:t>消防、安全、防雷接地、职业健康、环境保护、水土保持、节能、防洪排涝等专项设计应符合国家及行业有关规定，并与主体工程设计协调一致；</w:t>
      </w:r>
    </w:p>
    <w:p w14:paraId="2E9DA190">
      <w:pPr>
        <w:pStyle w:val="65"/>
        <w:numPr>
          <w:ilvl w:val="0"/>
          <w:numId w:val="28"/>
        </w:numPr>
        <w:rPr>
          <w:rFonts w:hint="eastAsia"/>
          <w:color w:val="000000"/>
        </w:rPr>
      </w:pPr>
      <w:r>
        <w:rPr>
          <w:rFonts w:hint="eastAsia"/>
          <w:color w:val="000000"/>
        </w:rPr>
        <w:t>工程概算应依据设计方案、工程量及现行计价规定编制，投资构成完整，工程量计算准确，主要技术经济指标合理，并满足投资控制要求；</w:t>
      </w:r>
    </w:p>
    <w:p w14:paraId="3C1DFD89">
      <w:pPr>
        <w:pStyle w:val="65"/>
        <w:numPr>
          <w:ilvl w:val="0"/>
          <w:numId w:val="28"/>
        </w:numPr>
        <w:rPr>
          <w:rFonts w:hint="eastAsia"/>
          <w:color w:val="000000"/>
        </w:rPr>
      </w:pPr>
      <w:r>
        <w:rPr>
          <w:rFonts w:hint="eastAsia"/>
          <w:color w:val="000000"/>
        </w:rPr>
        <w:t>初步设计文件应充分体现设计优化成果，对重大技术方案应开展技术经济比较，设计方案应满足工程安全、质量、投资、工期及运行维护等综合目标要求；</w:t>
      </w:r>
    </w:p>
    <w:p w14:paraId="584066F0">
      <w:pPr>
        <w:pStyle w:val="65"/>
        <w:numPr>
          <w:ilvl w:val="0"/>
          <w:numId w:val="28"/>
        </w:numPr>
        <w:rPr>
          <w:rFonts w:hint="eastAsia"/>
          <w:color w:val="000000"/>
        </w:rPr>
      </w:pPr>
      <w:r>
        <w:rPr>
          <w:rFonts w:hint="eastAsia"/>
          <w:color w:val="000000"/>
        </w:rPr>
        <w:t>初步设计文件应明确设备技术条件、主要接口要求及设计边界，为设备采购、施工图设计及工程建设实施提供完整、准确的设计依据；</w:t>
      </w:r>
    </w:p>
    <w:p w14:paraId="789CE44B">
      <w:pPr>
        <w:pStyle w:val="65"/>
        <w:numPr>
          <w:ilvl w:val="0"/>
          <w:numId w:val="28"/>
        </w:numPr>
        <w:rPr>
          <w:rFonts w:hint="eastAsia"/>
          <w:color w:val="000000"/>
        </w:rPr>
      </w:pPr>
      <w:r>
        <w:rPr>
          <w:rFonts w:hint="eastAsia"/>
          <w:color w:val="000000"/>
        </w:rPr>
        <w:t>初步设计文件应按照合同约定完成数字化设计成果及相关设计文件交付，并满足工程建设全过程数字化管理要求。</w:t>
      </w:r>
    </w:p>
    <w:p w14:paraId="0E8AD131">
      <w:pPr>
        <w:pStyle w:val="66"/>
        <w:numPr>
          <w:ilvl w:val="4"/>
          <w:numId w:val="14"/>
        </w:numPr>
        <w:rPr>
          <w:rFonts w:hint="eastAsia"/>
          <w:color w:val="000000"/>
        </w:rPr>
      </w:pPr>
      <w:r>
        <w:rPr>
          <w:rFonts w:hint="eastAsia"/>
          <w:color w:val="000000"/>
        </w:rPr>
        <w:t>当建设地点、线路路径等发生重大变化或者概算超估算时，经汇报建设单位，确定是否重新开展可行性研究工作。</w:t>
      </w:r>
    </w:p>
    <w:p w14:paraId="18EFA2B5">
      <w:pPr>
        <w:pStyle w:val="66"/>
        <w:numPr>
          <w:ilvl w:val="4"/>
          <w:numId w:val="14"/>
        </w:numPr>
        <w:rPr>
          <w:rFonts w:hint="eastAsia"/>
          <w:color w:val="000000"/>
        </w:rPr>
      </w:pPr>
      <w:r>
        <w:rPr>
          <w:rFonts w:hint="eastAsia"/>
          <w:color w:val="000000"/>
        </w:rPr>
        <w:t>初步设计完成后，按要求配合相关单位开展评审，并取得初步设计评审意见。</w:t>
      </w:r>
    </w:p>
    <w:p w14:paraId="2F5B9CCE">
      <w:pPr>
        <w:pStyle w:val="66"/>
        <w:numPr>
          <w:ilvl w:val="4"/>
          <w:numId w:val="14"/>
        </w:numPr>
        <w:rPr>
          <w:rFonts w:hint="eastAsia"/>
          <w:color w:val="000000"/>
        </w:rPr>
      </w:pPr>
      <w:r>
        <w:rPr>
          <w:rFonts w:hint="eastAsia"/>
          <w:color w:val="000000"/>
        </w:rPr>
        <w:t>依据初步设计评审意见完成收口工作后，协助上报相关单位以取得批复。</w:t>
      </w:r>
    </w:p>
    <w:p w14:paraId="04AEECE7">
      <w:pPr>
        <w:pStyle w:val="66"/>
        <w:numPr>
          <w:ilvl w:val="4"/>
          <w:numId w:val="14"/>
        </w:numPr>
        <w:rPr>
          <w:rFonts w:hint="eastAsia"/>
          <w:color w:val="000000"/>
        </w:rPr>
      </w:pPr>
      <w:r>
        <w:rPr>
          <w:rFonts w:hint="eastAsia"/>
          <w:color w:val="000000"/>
        </w:rPr>
        <w:t>根据初步设计文件编制设备技术规范书，配合完成物资招标申报。</w:t>
      </w:r>
    </w:p>
    <w:p w14:paraId="3F17E4A6">
      <w:pPr>
        <w:pStyle w:val="66"/>
        <w:numPr>
          <w:ilvl w:val="4"/>
          <w:numId w:val="14"/>
        </w:numPr>
        <w:rPr>
          <w:rFonts w:hint="eastAsia"/>
          <w:color w:val="000000"/>
        </w:rPr>
      </w:pPr>
      <w:r>
        <w:rPr>
          <w:rFonts w:hint="eastAsia"/>
          <w:color w:val="000000"/>
        </w:rPr>
        <w:t>参加设计联络会，完成设备制造单位资料的技术确认，明确具体设备技术要求。</w:t>
      </w:r>
    </w:p>
    <w:p w14:paraId="56A96881">
      <w:pPr>
        <w:pStyle w:val="58"/>
        <w:numPr>
          <w:ilvl w:val="3"/>
          <w:numId w:val="14"/>
        </w:numPr>
        <w:spacing w:before="120" w:after="120"/>
        <w:rPr>
          <w:rFonts w:hint="eastAsia"/>
          <w:color w:val="000000"/>
        </w:rPr>
      </w:pPr>
      <w:r>
        <w:rPr>
          <w:rFonts w:hint="eastAsia"/>
          <w:color w:val="000000"/>
        </w:rPr>
        <w:t>施工图阶段主要工作</w:t>
      </w:r>
    </w:p>
    <w:p w14:paraId="52B3D35A">
      <w:pPr>
        <w:pStyle w:val="66"/>
        <w:numPr>
          <w:ilvl w:val="4"/>
          <w:numId w:val="14"/>
        </w:numPr>
        <w:rPr>
          <w:rFonts w:hint="eastAsia"/>
          <w:color w:val="000000"/>
        </w:rPr>
      </w:pPr>
      <w:r>
        <w:rPr>
          <w:rFonts w:hint="eastAsia"/>
          <w:color w:val="000000"/>
          <w:lang w:val="en-US" w:eastAsia="zh-CN"/>
        </w:rPr>
        <w:t>施工图</w:t>
      </w:r>
      <w:r>
        <w:rPr>
          <w:rFonts w:hint="eastAsia"/>
          <w:color w:val="000000"/>
        </w:rPr>
        <w:t>设计阶段</w:t>
      </w:r>
      <w:r>
        <w:rPr>
          <w:rFonts w:hint="eastAsia"/>
          <w:color w:val="000000"/>
          <w:lang w:val="en-US" w:eastAsia="zh-CN"/>
        </w:rPr>
        <w:t>的</w:t>
      </w:r>
      <w:r>
        <w:rPr>
          <w:rFonts w:hint="eastAsia"/>
          <w:color w:val="000000"/>
        </w:rPr>
        <w:t>主要</w:t>
      </w:r>
      <w:r>
        <w:rPr>
          <w:rFonts w:hint="eastAsia"/>
          <w:color w:val="000000"/>
          <w:lang w:val="en-US" w:eastAsia="zh-CN"/>
        </w:rPr>
        <w:t>工作</w:t>
      </w:r>
      <w:r>
        <w:rPr>
          <w:rFonts w:hint="eastAsia"/>
          <w:color w:val="000000"/>
        </w:rPr>
        <w:t>内容：</w:t>
      </w:r>
    </w:p>
    <w:p w14:paraId="579A8E0C">
      <w:pPr>
        <w:pStyle w:val="65"/>
        <w:numPr>
          <w:ilvl w:val="0"/>
          <w:numId w:val="29"/>
        </w:numPr>
        <w:rPr>
          <w:rFonts w:hint="eastAsia"/>
          <w:color w:val="000000"/>
          <w:lang w:eastAsia="zh-CN"/>
        </w:rPr>
      </w:pPr>
      <w:r>
        <w:rPr>
          <w:rFonts w:hint="eastAsia"/>
          <w:color w:val="000000"/>
          <w:lang w:eastAsia="zh-CN"/>
        </w:rPr>
        <w:t>根据初步设计文件及批复、工程勘察成果、设备技术资料及相关技术标准，开展施工图设计文件编制，并按合同约定同步编制施工图预算。</w:t>
      </w:r>
    </w:p>
    <w:p w14:paraId="29D4728B">
      <w:pPr>
        <w:pStyle w:val="65"/>
        <w:numPr>
          <w:ilvl w:val="0"/>
          <w:numId w:val="29"/>
        </w:numPr>
        <w:rPr>
          <w:rFonts w:hint="eastAsia"/>
          <w:color w:val="000000"/>
          <w:lang w:eastAsia="zh-CN"/>
        </w:rPr>
      </w:pPr>
      <w:r>
        <w:rPr>
          <w:rFonts w:hint="eastAsia"/>
          <w:color w:val="000000"/>
          <w:lang w:eastAsia="zh-CN"/>
        </w:rPr>
        <w:t>应落实初步设计确定的设计原则、设计条件及审查意见，完成光伏阵列、支架基础、升压站、集电线路、送出工程、道路、排水及附属设施等施工图深化设计，解决施工实施中的专项技术问题，绘制工程施工和设备安装所需的全部图纸，并编制相应的设计说明和施工技术要求。</w:t>
      </w:r>
    </w:p>
    <w:p w14:paraId="76E2BC71">
      <w:pPr>
        <w:pStyle w:val="65"/>
        <w:numPr>
          <w:ilvl w:val="0"/>
          <w:numId w:val="29"/>
        </w:numPr>
        <w:rPr>
          <w:rFonts w:hint="eastAsia"/>
          <w:color w:val="000000"/>
          <w:lang w:eastAsia="zh-CN"/>
        </w:rPr>
      </w:pPr>
      <w:r>
        <w:rPr>
          <w:rFonts w:hint="eastAsia"/>
          <w:color w:val="000000"/>
          <w:lang w:eastAsia="zh-CN"/>
        </w:rPr>
        <w:t>应完成一次系统、二次系统、继电保护、自动化、通信、监控、消防、防雷接地、给排水、暖通及结构等各专业设计，协调各专业设计接口，确保设计成果完整、准确，各专业之间衔接一致，并满足工程建设实施要求。</w:t>
      </w:r>
    </w:p>
    <w:p w14:paraId="7E897B3B">
      <w:pPr>
        <w:pStyle w:val="65"/>
        <w:numPr>
          <w:ilvl w:val="0"/>
          <w:numId w:val="29"/>
        </w:numPr>
        <w:rPr>
          <w:rFonts w:hint="eastAsia"/>
          <w:color w:val="000000"/>
          <w:lang w:eastAsia="zh-CN"/>
        </w:rPr>
      </w:pPr>
      <w:r>
        <w:rPr>
          <w:rFonts w:hint="eastAsia"/>
          <w:color w:val="000000"/>
          <w:lang w:eastAsia="zh-CN"/>
        </w:rPr>
        <w:t>应提出设备和材料采购技术文件，明确光伏组件、支架系统、逆变器、汇流箱、箱式变电站、电缆、接地系统及其他主要设备材料的技术参数、性能要求、安装条件及接口要求，并明确非标准设备、构件及预埋件的加工制作要求，为设备采购和工程建设提供技术依据。</w:t>
      </w:r>
    </w:p>
    <w:p w14:paraId="6C726AF8">
      <w:pPr>
        <w:pStyle w:val="65"/>
        <w:numPr>
          <w:ilvl w:val="0"/>
          <w:numId w:val="29"/>
        </w:numPr>
        <w:rPr>
          <w:rFonts w:hint="eastAsia"/>
          <w:color w:val="000000"/>
          <w:lang w:eastAsia="zh-CN"/>
        </w:rPr>
      </w:pPr>
      <w:r>
        <w:rPr>
          <w:rFonts w:hint="eastAsia"/>
          <w:color w:val="000000"/>
          <w:lang w:eastAsia="zh-CN"/>
        </w:rPr>
        <w:t>应根据合同约定编制施工图预算，预算编制应符合现行计价规定，施工图预算总额原则上不得超过经批准的设计概算，并应完整反映光伏场区土建工程、支架基础、电气系统、升压站、集电线路、送出工程、消防、安全环保及其他相关工程费用。</w:t>
      </w:r>
    </w:p>
    <w:p w14:paraId="3A46748B">
      <w:pPr>
        <w:pStyle w:val="65"/>
        <w:numPr>
          <w:ilvl w:val="0"/>
          <w:numId w:val="29"/>
        </w:numPr>
        <w:rPr>
          <w:rFonts w:hint="eastAsia"/>
          <w:color w:val="000000"/>
          <w:lang w:eastAsia="zh-CN"/>
        </w:rPr>
      </w:pPr>
      <w:r>
        <w:rPr>
          <w:rFonts w:hint="eastAsia"/>
          <w:color w:val="000000"/>
          <w:lang w:eastAsia="zh-CN"/>
        </w:rPr>
        <w:t>应充分考虑工程建设条件，合理确定设备布置、管线路径、基础形式及设备安装空间，明确施工技术要求和安装条件，减少专业交叉和设计冲突，提高设计成果的可实施性和可维护性。</w:t>
      </w:r>
    </w:p>
    <w:p w14:paraId="09B7031C">
      <w:pPr>
        <w:pStyle w:val="65"/>
        <w:numPr>
          <w:ilvl w:val="0"/>
          <w:numId w:val="29"/>
        </w:numPr>
        <w:rPr>
          <w:rFonts w:hint="eastAsia"/>
          <w:color w:val="000000"/>
          <w:lang w:eastAsia="zh-CN"/>
        </w:rPr>
      </w:pPr>
      <w:r>
        <w:rPr>
          <w:rFonts w:hint="eastAsia"/>
          <w:color w:val="000000"/>
          <w:lang w:eastAsia="zh-CN"/>
        </w:rPr>
        <w:t>施工图设计成果应包括各专业施工图纸、图纸目录、设计说明、设备材料表、设备技术文件及施工图预算等成果文件。对于涉及防腐、防雷接地、节能、环境保护、水土保持、特殊场景光伏和海上光伏等专项工程，应编制相应的专项设计内容。</w:t>
      </w:r>
    </w:p>
    <w:p w14:paraId="35C05EA9">
      <w:pPr>
        <w:pStyle w:val="66"/>
        <w:numPr>
          <w:ilvl w:val="4"/>
          <w:numId w:val="14"/>
        </w:numPr>
        <w:rPr>
          <w:rFonts w:hint="eastAsia"/>
          <w:color w:val="000000"/>
        </w:rPr>
      </w:pPr>
      <w:r>
        <w:rPr>
          <w:rFonts w:hint="eastAsia"/>
          <w:color w:val="000000"/>
        </w:rPr>
        <w:t>施工图设计文件应符合以下要求：</w:t>
      </w:r>
    </w:p>
    <w:p w14:paraId="7D1D16DB">
      <w:pPr>
        <w:pStyle w:val="65"/>
        <w:numPr>
          <w:ilvl w:val="0"/>
          <w:numId w:val="30"/>
        </w:numPr>
        <w:rPr>
          <w:rFonts w:hint="eastAsia"/>
          <w:color w:val="000000"/>
        </w:rPr>
      </w:pPr>
      <w:r>
        <w:rPr>
          <w:rFonts w:hint="eastAsia"/>
          <w:color w:val="000000"/>
        </w:rPr>
        <w:t>应符合国家及行业现行法律法规、技术标准和工程建设强制性标准的规定，并满足光伏发电工程施工图设计深度要求；</w:t>
      </w:r>
    </w:p>
    <w:p w14:paraId="234CCA78">
      <w:pPr>
        <w:pStyle w:val="65"/>
        <w:numPr>
          <w:ilvl w:val="0"/>
          <w:numId w:val="28"/>
        </w:numPr>
        <w:rPr>
          <w:rFonts w:hint="eastAsia"/>
          <w:color w:val="000000"/>
        </w:rPr>
      </w:pPr>
      <w:r>
        <w:rPr>
          <w:rFonts w:hint="eastAsia"/>
          <w:color w:val="000000"/>
        </w:rPr>
        <w:t>应依据经批准的初步设计文件、审查意见、工程勘察成果及设备技术资料编制，并落实初步设计批复及审查意见的相关要求；</w:t>
      </w:r>
    </w:p>
    <w:p w14:paraId="06F21191">
      <w:pPr>
        <w:pStyle w:val="65"/>
        <w:numPr>
          <w:ilvl w:val="0"/>
          <w:numId w:val="28"/>
        </w:numPr>
        <w:rPr>
          <w:rFonts w:hint="eastAsia"/>
          <w:color w:val="000000"/>
        </w:rPr>
      </w:pPr>
      <w:r>
        <w:rPr>
          <w:rFonts w:hint="eastAsia"/>
          <w:color w:val="000000"/>
        </w:rPr>
        <w:t>应完整反映光伏发电工程建设内容，设计成果应满足工程施工、设备采购、安装调试、质量验收及运行维护的要求</w:t>
      </w:r>
      <w:r>
        <w:rPr>
          <w:rFonts w:hint="eastAsia"/>
          <w:color w:val="000000"/>
          <w:lang w:eastAsia="zh-CN"/>
        </w:rPr>
        <w:t>；</w:t>
      </w:r>
    </w:p>
    <w:p w14:paraId="16D63CAD">
      <w:pPr>
        <w:pStyle w:val="65"/>
        <w:numPr>
          <w:ilvl w:val="0"/>
          <w:numId w:val="28"/>
        </w:numPr>
        <w:rPr>
          <w:rFonts w:hint="eastAsia"/>
          <w:color w:val="000000"/>
        </w:rPr>
      </w:pPr>
      <w:r>
        <w:rPr>
          <w:rFonts w:hint="eastAsia"/>
          <w:color w:val="000000"/>
        </w:rPr>
        <w:t>专业间的重要接口应统一，专业间的设计分界点应明确；</w:t>
      </w:r>
    </w:p>
    <w:p w14:paraId="46529CDF">
      <w:pPr>
        <w:pStyle w:val="65"/>
        <w:numPr>
          <w:ilvl w:val="0"/>
          <w:numId w:val="28"/>
        </w:numPr>
        <w:rPr>
          <w:rFonts w:hint="eastAsia"/>
          <w:color w:val="000000"/>
        </w:rPr>
      </w:pPr>
      <w:r>
        <w:rPr>
          <w:rFonts w:hint="eastAsia"/>
          <w:color w:val="000000"/>
        </w:rPr>
        <w:t>光伏阵列、支架基础、逆变器、汇流箱、箱式变电站、集电线路、升压站、送出工程及附属设施等施工图设计应满足安全可靠、技术先进、经济合理和便于运行维护的要求</w:t>
      </w:r>
      <w:r>
        <w:rPr>
          <w:rFonts w:hint="eastAsia"/>
          <w:color w:val="000000"/>
          <w:lang w:eastAsia="zh-CN"/>
        </w:rPr>
        <w:t>；</w:t>
      </w:r>
    </w:p>
    <w:p w14:paraId="314AE1DF">
      <w:pPr>
        <w:pStyle w:val="65"/>
        <w:numPr>
          <w:ilvl w:val="0"/>
          <w:numId w:val="28"/>
        </w:numPr>
        <w:rPr>
          <w:rFonts w:hint="eastAsia"/>
          <w:color w:val="000000"/>
        </w:rPr>
      </w:pPr>
      <w:r>
        <w:rPr>
          <w:rFonts w:hint="eastAsia"/>
          <w:color w:val="000000"/>
        </w:rPr>
        <w:t>施工图设计文件应满足初步设计审批文件中安全、消防、节能减排、环境保护和水土保持等各项要求；</w:t>
      </w:r>
    </w:p>
    <w:p w14:paraId="2F05E8E7">
      <w:pPr>
        <w:pStyle w:val="65"/>
        <w:numPr>
          <w:ilvl w:val="0"/>
          <w:numId w:val="28"/>
        </w:numPr>
        <w:rPr>
          <w:rFonts w:hint="eastAsia"/>
          <w:color w:val="000000"/>
        </w:rPr>
      </w:pPr>
      <w:r>
        <w:rPr>
          <w:rFonts w:hint="eastAsia"/>
          <w:color w:val="000000"/>
        </w:rPr>
        <w:t>应满足远期改、扩建以及运行期间设备维修保养、更换方面的空间或位置需求；</w:t>
      </w:r>
    </w:p>
    <w:p w14:paraId="05B8972E">
      <w:pPr>
        <w:pStyle w:val="65"/>
        <w:numPr>
          <w:ilvl w:val="0"/>
          <w:numId w:val="28"/>
        </w:numPr>
        <w:rPr>
          <w:rFonts w:hint="eastAsia"/>
          <w:color w:val="000000"/>
        </w:rPr>
      </w:pPr>
      <w:r>
        <w:rPr>
          <w:rFonts w:hint="eastAsia"/>
          <w:color w:val="000000"/>
        </w:rPr>
        <w:t>应列出质量管理目标、强制性标准执行情况、质量通病防治措施执行情况等；</w:t>
      </w:r>
    </w:p>
    <w:p w14:paraId="18C66985">
      <w:pPr>
        <w:pStyle w:val="65"/>
        <w:numPr>
          <w:ilvl w:val="0"/>
          <w:numId w:val="28"/>
        </w:numPr>
        <w:rPr>
          <w:rFonts w:hint="eastAsia"/>
          <w:color w:val="000000"/>
        </w:rPr>
      </w:pPr>
      <w:r>
        <w:rPr>
          <w:rFonts w:hint="eastAsia"/>
          <w:color w:val="000000"/>
        </w:rPr>
        <w:t>建构筑物稳定性和安全、工艺系统运行可靠性，施工图设计方案合理性和输入资料的及时性、完整性、准确性；</w:t>
      </w:r>
    </w:p>
    <w:p w14:paraId="58E21491">
      <w:pPr>
        <w:pStyle w:val="65"/>
        <w:numPr>
          <w:ilvl w:val="0"/>
          <w:numId w:val="28"/>
        </w:numPr>
        <w:rPr>
          <w:rFonts w:hint="eastAsia"/>
          <w:color w:val="000000"/>
        </w:rPr>
      </w:pPr>
      <w:r>
        <w:rPr>
          <w:rFonts w:hint="eastAsia"/>
          <w:color w:val="000000"/>
        </w:rPr>
        <w:t>应列出工程涉及的施工安全风险，说明降低施工安全风险的设计措施。</w:t>
      </w:r>
    </w:p>
    <w:p w14:paraId="4AE99187">
      <w:pPr>
        <w:pStyle w:val="66"/>
        <w:numPr>
          <w:ilvl w:val="4"/>
          <w:numId w:val="14"/>
        </w:numPr>
        <w:rPr>
          <w:rFonts w:hint="eastAsia"/>
          <w:color w:val="000000"/>
        </w:rPr>
      </w:pPr>
      <w:r>
        <w:rPr>
          <w:rFonts w:hint="eastAsia"/>
          <w:color w:val="000000"/>
        </w:rPr>
        <w:t>根据工程需要，完成施工图设计文件编制施工招标工程量清单，配合建设单位完成施工招标。</w:t>
      </w:r>
    </w:p>
    <w:p w14:paraId="5B2895C4">
      <w:pPr>
        <w:pStyle w:val="66"/>
        <w:numPr>
          <w:ilvl w:val="4"/>
          <w:numId w:val="14"/>
        </w:numPr>
        <w:rPr>
          <w:rFonts w:hint="eastAsia"/>
          <w:color w:val="000000"/>
        </w:rPr>
      </w:pPr>
      <w:r>
        <w:rPr>
          <w:rFonts w:hint="eastAsia"/>
          <w:color w:val="000000"/>
        </w:rPr>
        <w:t>工程开工前，参加设计交底会，对相关单位进行设计交底，解决施工图会检所提出的问题，参与重要技术方案审查。</w:t>
      </w:r>
    </w:p>
    <w:p w14:paraId="7DF8135F">
      <w:pPr>
        <w:pStyle w:val="66"/>
        <w:numPr>
          <w:ilvl w:val="4"/>
          <w:numId w:val="14"/>
        </w:numPr>
        <w:rPr>
          <w:rFonts w:hint="eastAsia"/>
          <w:color w:val="000000"/>
        </w:rPr>
      </w:pPr>
      <w:r>
        <w:rPr>
          <w:rFonts w:hint="eastAsia"/>
          <w:color w:val="000000"/>
        </w:rPr>
        <w:t>提供施工现场工地代表服务，解决现场发现的有关设计问题。</w:t>
      </w:r>
    </w:p>
    <w:p w14:paraId="139E838F">
      <w:pPr>
        <w:pStyle w:val="66"/>
        <w:numPr>
          <w:ilvl w:val="4"/>
          <w:numId w:val="14"/>
        </w:numPr>
        <w:rPr>
          <w:rFonts w:hint="eastAsia"/>
          <w:color w:val="000000"/>
        </w:rPr>
      </w:pPr>
      <w:r>
        <w:rPr>
          <w:rFonts w:hint="eastAsia"/>
          <w:color w:val="000000"/>
        </w:rPr>
        <w:t>根据工程需要出具设计变更文件。</w:t>
      </w:r>
    </w:p>
    <w:p w14:paraId="09EDDD0D">
      <w:pPr>
        <w:pStyle w:val="66"/>
        <w:numPr>
          <w:ilvl w:val="4"/>
          <w:numId w:val="14"/>
        </w:numPr>
        <w:rPr>
          <w:rFonts w:hint="eastAsia"/>
          <w:color w:val="000000"/>
        </w:rPr>
      </w:pPr>
      <w:r>
        <w:rPr>
          <w:rFonts w:hint="eastAsia"/>
          <w:color w:val="000000"/>
        </w:rPr>
        <w:t>进行工程量审查和现场签证审查。</w:t>
      </w:r>
    </w:p>
    <w:p w14:paraId="5E701585">
      <w:pPr>
        <w:pStyle w:val="66"/>
        <w:numPr>
          <w:ilvl w:val="4"/>
          <w:numId w:val="14"/>
        </w:numPr>
        <w:rPr>
          <w:rFonts w:hint="eastAsia"/>
          <w:color w:val="000000"/>
        </w:rPr>
      </w:pPr>
      <w:r>
        <w:rPr>
          <w:rFonts w:hint="eastAsia"/>
          <w:color w:val="000000"/>
        </w:rPr>
        <w:t>参与关键部位及单位工程验收，配合质量监督检查，参与竣工预验收、启动验收、专项验收及竣工验收。</w:t>
      </w:r>
    </w:p>
    <w:p w14:paraId="46ED892E">
      <w:pPr>
        <w:pStyle w:val="58"/>
        <w:numPr>
          <w:ilvl w:val="3"/>
          <w:numId w:val="14"/>
        </w:numPr>
        <w:spacing w:before="120" w:after="120"/>
        <w:rPr>
          <w:rFonts w:hint="eastAsia"/>
          <w:color w:val="000000"/>
        </w:rPr>
      </w:pPr>
      <w:r>
        <w:rPr>
          <w:rFonts w:hint="eastAsia"/>
          <w:color w:val="000000"/>
        </w:rPr>
        <w:t>竣工图阶段主要工作</w:t>
      </w:r>
    </w:p>
    <w:p w14:paraId="5A8F683B">
      <w:pPr>
        <w:pStyle w:val="66"/>
        <w:numPr>
          <w:ilvl w:val="4"/>
          <w:numId w:val="14"/>
        </w:numPr>
        <w:rPr>
          <w:rFonts w:hint="eastAsia"/>
          <w:color w:val="000000"/>
        </w:rPr>
      </w:pPr>
      <w:r>
        <w:rPr>
          <w:rFonts w:hint="eastAsia"/>
          <w:color w:val="000000"/>
        </w:rPr>
        <w:t>根据施工单位提供的竣工草图和设计变更等过程中形成的文件编制竣工图。</w:t>
      </w:r>
    </w:p>
    <w:p w14:paraId="3D0EFD67">
      <w:pPr>
        <w:pStyle w:val="66"/>
        <w:numPr>
          <w:ilvl w:val="4"/>
          <w:numId w:val="14"/>
        </w:numPr>
        <w:rPr>
          <w:rFonts w:hint="eastAsia"/>
          <w:color w:val="000000"/>
        </w:rPr>
      </w:pPr>
      <w:r>
        <w:rPr>
          <w:rFonts w:hint="eastAsia"/>
          <w:color w:val="000000"/>
        </w:rPr>
        <w:t>配合编制竣工结算文件，审查施工单位结算资料，提出审查意见。</w:t>
      </w:r>
    </w:p>
    <w:p w14:paraId="1E40F080">
      <w:pPr>
        <w:pStyle w:val="66"/>
        <w:numPr>
          <w:ilvl w:val="4"/>
          <w:numId w:val="14"/>
        </w:numPr>
        <w:rPr>
          <w:rFonts w:hint="eastAsia"/>
          <w:color w:val="000000"/>
        </w:rPr>
      </w:pPr>
      <w:r>
        <w:rPr>
          <w:rFonts w:hint="eastAsia"/>
          <w:color w:val="000000"/>
        </w:rPr>
        <w:t>竣工图应涵盖全部专业，形成纸质与电子档案一体化成果，满足资料归档与移交要求。</w:t>
      </w:r>
    </w:p>
    <w:bookmarkEnd w:id="210"/>
    <w:bookmarkEnd w:id="211"/>
    <w:bookmarkEnd w:id="212"/>
    <w:bookmarkEnd w:id="213"/>
    <w:bookmarkEnd w:id="214"/>
    <w:bookmarkEnd w:id="215"/>
    <w:p w14:paraId="360544EC">
      <w:pPr>
        <w:pStyle w:val="49"/>
        <w:spacing w:before="240" w:after="240"/>
        <w:rPr>
          <w:color w:val="000000"/>
        </w:rPr>
      </w:pPr>
      <w:bookmarkStart w:id="218" w:name="_Toc19729"/>
      <w:bookmarkStart w:id="219" w:name="_Toc155604566"/>
      <w:bookmarkStart w:id="220" w:name="_Toc155628727"/>
      <w:bookmarkStart w:id="221" w:name="_Toc13502"/>
      <w:bookmarkStart w:id="222" w:name="_Toc155628790"/>
      <w:bookmarkStart w:id="223" w:name="_Toc155714346"/>
      <w:bookmarkStart w:id="224" w:name="_Toc155714286"/>
      <w:r>
        <w:rPr>
          <w:rFonts w:hint="eastAsia"/>
          <w:color w:val="000000"/>
        </w:rPr>
        <w:t>招标采购咨询</w:t>
      </w:r>
      <w:bookmarkEnd w:id="218"/>
      <w:bookmarkEnd w:id="219"/>
      <w:bookmarkEnd w:id="220"/>
      <w:bookmarkEnd w:id="221"/>
      <w:bookmarkEnd w:id="222"/>
      <w:bookmarkEnd w:id="223"/>
      <w:bookmarkEnd w:id="224"/>
    </w:p>
    <w:p w14:paraId="3520A0E5">
      <w:pPr>
        <w:pStyle w:val="51"/>
        <w:spacing w:before="120" w:after="120"/>
        <w:rPr>
          <w:color w:val="000000"/>
        </w:rPr>
      </w:pPr>
      <w:bookmarkStart w:id="225" w:name="_Toc155628791"/>
      <w:bookmarkStart w:id="226" w:name="_Toc5624"/>
      <w:bookmarkStart w:id="227" w:name="_Toc155628728"/>
      <w:bookmarkStart w:id="228" w:name="_Toc155604567"/>
      <w:bookmarkStart w:id="229" w:name="_Toc23336"/>
      <w:bookmarkStart w:id="230" w:name="_Toc155714347"/>
      <w:bookmarkStart w:id="231" w:name="_Toc155714287"/>
      <w:r>
        <w:rPr>
          <w:rFonts w:hint="eastAsia"/>
          <w:color w:val="000000"/>
        </w:rPr>
        <w:t>一般规定</w:t>
      </w:r>
      <w:bookmarkEnd w:id="225"/>
      <w:bookmarkEnd w:id="226"/>
      <w:bookmarkEnd w:id="227"/>
      <w:bookmarkEnd w:id="228"/>
      <w:bookmarkEnd w:id="229"/>
      <w:bookmarkEnd w:id="230"/>
      <w:bookmarkEnd w:id="231"/>
    </w:p>
    <w:p w14:paraId="22F6D94F">
      <w:pPr>
        <w:pStyle w:val="57"/>
        <w:rPr>
          <w:color w:val="000000"/>
        </w:rPr>
      </w:pPr>
      <w:r>
        <w:rPr>
          <w:rFonts w:hint="eastAsia"/>
          <w:color w:val="000000"/>
        </w:rPr>
        <w:t>工程项目主要的招标方式</w:t>
      </w:r>
      <w:r>
        <w:rPr>
          <w:rFonts w:hint="eastAsia"/>
          <w:color w:val="000000"/>
          <w:lang w:val="en-US" w:eastAsia="zh-CN"/>
        </w:rPr>
        <w:t>主要包括</w:t>
      </w:r>
      <w:r>
        <w:rPr>
          <w:rFonts w:hint="eastAsia"/>
          <w:color w:val="000000"/>
        </w:rPr>
        <w:t>公开招标和邀请招标。对于竞争性谈判等非招标类的采购形式，应遵照建设单位的相关规定实施。</w:t>
      </w:r>
    </w:p>
    <w:p w14:paraId="4B8428E1">
      <w:pPr>
        <w:pStyle w:val="57"/>
        <w:rPr>
          <w:color w:val="000000"/>
        </w:rPr>
      </w:pPr>
      <w:r>
        <w:rPr>
          <w:rFonts w:hint="eastAsia"/>
          <w:color w:val="000000"/>
        </w:rPr>
        <w:t>招标投标活动应当遵循公开、公平、公正和诚实信用的原则。</w:t>
      </w:r>
    </w:p>
    <w:p w14:paraId="6B1FE6B5">
      <w:pPr>
        <w:pStyle w:val="57"/>
        <w:rPr>
          <w:color w:val="000000"/>
        </w:rPr>
      </w:pPr>
      <w:r>
        <w:rPr>
          <w:rFonts w:hint="eastAsia"/>
          <w:color w:val="000000"/>
        </w:rPr>
        <w:t>招标采购咨询服务的覆盖范围包含招标采购整体策划</w:t>
      </w:r>
      <w:r>
        <w:rPr>
          <w:rFonts w:hint="eastAsia"/>
          <w:color w:val="000000"/>
          <w:lang w:eastAsia="zh-CN"/>
        </w:rPr>
        <w:t>、</w:t>
      </w:r>
      <w:r>
        <w:rPr>
          <w:rFonts w:hint="eastAsia"/>
          <w:color w:val="000000"/>
        </w:rPr>
        <w:t>招标实施阶段咨询</w:t>
      </w:r>
      <w:r>
        <w:rPr>
          <w:rFonts w:hint="eastAsia"/>
          <w:color w:val="000000"/>
          <w:lang w:eastAsia="zh-CN"/>
        </w:rPr>
        <w:t>、</w:t>
      </w:r>
      <w:r>
        <w:rPr>
          <w:rFonts w:hint="eastAsia"/>
          <w:color w:val="000000"/>
        </w:rPr>
        <w:t>合同签订及后续履约服务。</w:t>
      </w:r>
    </w:p>
    <w:p w14:paraId="0548B218">
      <w:pPr>
        <w:pStyle w:val="51"/>
        <w:spacing w:before="120" w:after="120"/>
        <w:rPr>
          <w:color w:val="000000"/>
        </w:rPr>
      </w:pPr>
      <w:bookmarkStart w:id="232" w:name="_Toc7434"/>
      <w:bookmarkStart w:id="233" w:name="_Toc16496"/>
      <w:r>
        <w:rPr>
          <w:rFonts w:hint="eastAsia"/>
          <w:color w:val="000000"/>
        </w:rPr>
        <w:t>招标采购整体策划主要工作</w:t>
      </w:r>
      <w:bookmarkEnd w:id="232"/>
      <w:bookmarkEnd w:id="233"/>
    </w:p>
    <w:p w14:paraId="24FCDC5B">
      <w:pPr>
        <w:pStyle w:val="57"/>
        <w:rPr>
          <w:color w:val="000000"/>
        </w:rPr>
      </w:pPr>
      <w:r>
        <w:rPr>
          <w:rFonts w:hint="eastAsia"/>
          <w:color w:val="000000"/>
        </w:rPr>
        <w:t>制定招标采购总体策划方案。</w:t>
      </w:r>
    </w:p>
    <w:p w14:paraId="30E19B42">
      <w:pPr>
        <w:pStyle w:val="57"/>
        <w:rPr>
          <w:color w:val="000000"/>
        </w:rPr>
      </w:pPr>
      <w:r>
        <w:rPr>
          <w:rFonts w:hint="eastAsia"/>
          <w:color w:val="000000"/>
        </w:rPr>
        <w:t>梳理项目所需采购的核心品类，配合建设单位审查需求计划。</w:t>
      </w:r>
    </w:p>
    <w:p w14:paraId="1ECEFF7F">
      <w:pPr>
        <w:pStyle w:val="57"/>
        <w:rPr>
          <w:color w:val="000000"/>
        </w:rPr>
      </w:pPr>
      <w:r>
        <w:rPr>
          <w:rFonts w:hint="eastAsia"/>
          <w:color w:val="000000"/>
        </w:rPr>
        <w:t>编制资格预审文件，明确投标人资质、业绩、技术能力等准入标准，协助审核潜在投标人资格。</w:t>
      </w:r>
    </w:p>
    <w:p w14:paraId="3BE8D962">
      <w:pPr>
        <w:pStyle w:val="51"/>
        <w:spacing w:before="120" w:after="120"/>
        <w:rPr>
          <w:color w:val="000000"/>
        </w:rPr>
      </w:pPr>
      <w:bookmarkStart w:id="234" w:name="_Toc155714289"/>
      <w:bookmarkStart w:id="235" w:name="_Toc155628730"/>
      <w:bookmarkStart w:id="236" w:name="_Toc155628793"/>
      <w:bookmarkStart w:id="237" w:name="_Toc155714349"/>
      <w:bookmarkStart w:id="238" w:name="_Toc9312"/>
      <w:bookmarkStart w:id="239" w:name="_Toc32708"/>
      <w:r>
        <w:rPr>
          <w:rFonts w:hint="eastAsia"/>
          <w:color w:val="000000"/>
        </w:rPr>
        <w:t>招标实施阶段咨询主要工作</w:t>
      </w:r>
      <w:bookmarkEnd w:id="234"/>
      <w:bookmarkEnd w:id="235"/>
      <w:bookmarkEnd w:id="236"/>
      <w:bookmarkEnd w:id="237"/>
      <w:bookmarkEnd w:id="238"/>
      <w:bookmarkEnd w:id="239"/>
    </w:p>
    <w:p w14:paraId="15215CF7">
      <w:pPr>
        <w:pStyle w:val="57"/>
        <w:rPr>
          <w:color w:val="000000"/>
        </w:rPr>
      </w:pPr>
      <w:r>
        <w:rPr>
          <w:rFonts w:hint="eastAsia"/>
          <w:color w:val="000000"/>
        </w:rPr>
        <w:t>审查招标文件，包含技术规格书、商务条款、合同范本、评标办法等，确保符合光伏工程技术要求和行业规范。</w:t>
      </w:r>
    </w:p>
    <w:p w14:paraId="37BEEA55">
      <w:pPr>
        <w:pStyle w:val="57"/>
        <w:rPr>
          <w:color w:val="000000"/>
        </w:rPr>
      </w:pPr>
      <w:r>
        <w:rPr>
          <w:rFonts w:hint="eastAsia"/>
          <w:color w:val="000000"/>
        </w:rPr>
        <w:t>协助建设单位发布招标公告，选择合适的招标平台。</w:t>
      </w:r>
    </w:p>
    <w:p w14:paraId="2A82BD65">
      <w:pPr>
        <w:pStyle w:val="57"/>
        <w:rPr>
          <w:color w:val="000000"/>
        </w:rPr>
      </w:pPr>
      <w:r>
        <w:rPr>
          <w:rFonts w:hint="eastAsia"/>
          <w:color w:val="000000"/>
        </w:rPr>
        <w:t>协助组织招标文件答疑会，解答投标人疑问，出具书面答疑文件并进行公告。</w:t>
      </w:r>
    </w:p>
    <w:p w14:paraId="5B3E06DB">
      <w:pPr>
        <w:pStyle w:val="57"/>
        <w:rPr>
          <w:color w:val="000000"/>
        </w:rPr>
      </w:pPr>
      <w:r>
        <w:rPr>
          <w:rFonts w:hint="eastAsia"/>
          <w:color w:val="000000"/>
        </w:rPr>
        <w:t>协助组织开标、评标工作，提供专业技术支持，协助整理评标报告。</w:t>
      </w:r>
    </w:p>
    <w:p w14:paraId="1CD0BDD2">
      <w:pPr>
        <w:pStyle w:val="51"/>
        <w:spacing w:before="120" w:after="120"/>
        <w:rPr>
          <w:color w:val="000000"/>
        </w:rPr>
      </w:pPr>
      <w:bookmarkStart w:id="240" w:name="_Toc13805"/>
      <w:bookmarkStart w:id="241" w:name="_Toc18232"/>
      <w:r>
        <w:rPr>
          <w:rFonts w:hint="eastAsia"/>
          <w:color w:val="000000"/>
        </w:rPr>
        <w:t>合同签订及后续履约服务主要工作</w:t>
      </w:r>
      <w:bookmarkEnd w:id="240"/>
      <w:bookmarkEnd w:id="241"/>
    </w:p>
    <w:p w14:paraId="6A5A9092">
      <w:pPr>
        <w:pStyle w:val="57"/>
        <w:rPr>
          <w:color w:val="000000"/>
        </w:rPr>
      </w:pPr>
      <w:r>
        <w:rPr>
          <w:rFonts w:hint="eastAsia"/>
          <w:color w:val="000000"/>
        </w:rPr>
        <w:t>协助建设单位与中标人进行合同谈判，</w:t>
      </w:r>
      <w:r>
        <w:rPr>
          <w:rFonts w:hint="eastAsia"/>
          <w:color w:val="000000"/>
          <w:lang w:val="en-US" w:eastAsia="zh-CN"/>
        </w:rPr>
        <w:t>按规定</w:t>
      </w:r>
      <w:r>
        <w:rPr>
          <w:rFonts w:hint="eastAsia"/>
          <w:color w:val="000000"/>
        </w:rPr>
        <w:t>完成合同签订。</w:t>
      </w:r>
    </w:p>
    <w:p w14:paraId="1C60A0ED">
      <w:pPr>
        <w:pStyle w:val="57"/>
        <w:rPr>
          <w:color w:val="000000"/>
        </w:rPr>
      </w:pPr>
      <w:r>
        <w:rPr>
          <w:rFonts w:hint="eastAsia"/>
          <w:color w:val="000000"/>
        </w:rPr>
        <w:t>提供合同履行过程中的咨询服务。</w:t>
      </w:r>
    </w:p>
    <w:p w14:paraId="43BE38AA">
      <w:pPr>
        <w:pStyle w:val="57"/>
        <w:rPr>
          <w:color w:val="000000"/>
        </w:rPr>
      </w:pPr>
      <w:r>
        <w:rPr>
          <w:rFonts w:hint="eastAsia"/>
          <w:color w:val="000000"/>
        </w:rPr>
        <w:t>协助整理招标采购全过程资料并按要求归档备案。</w:t>
      </w:r>
    </w:p>
    <w:p w14:paraId="5395AD07">
      <w:pPr>
        <w:pStyle w:val="49"/>
        <w:spacing w:before="240" w:after="240"/>
        <w:rPr>
          <w:color w:val="000000"/>
        </w:rPr>
      </w:pPr>
      <w:bookmarkStart w:id="242" w:name="_Toc7967"/>
      <w:bookmarkStart w:id="243" w:name="_Toc23461"/>
      <w:r>
        <w:rPr>
          <w:rFonts w:hint="eastAsia"/>
          <w:color w:val="000000"/>
        </w:rPr>
        <w:t>招标代理</w:t>
      </w:r>
      <w:bookmarkEnd w:id="242"/>
      <w:bookmarkEnd w:id="243"/>
    </w:p>
    <w:p w14:paraId="6D90F9F9">
      <w:pPr>
        <w:pStyle w:val="51"/>
        <w:spacing w:before="120" w:after="120"/>
        <w:rPr>
          <w:color w:val="000000"/>
        </w:rPr>
      </w:pPr>
      <w:bookmarkStart w:id="244" w:name="_Toc18475"/>
      <w:bookmarkStart w:id="245" w:name="_Toc28918"/>
      <w:r>
        <w:rPr>
          <w:rFonts w:hint="eastAsia"/>
          <w:color w:val="000000"/>
        </w:rPr>
        <w:t>一般规定</w:t>
      </w:r>
      <w:bookmarkEnd w:id="244"/>
      <w:bookmarkEnd w:id="245"/>
    </w:p>
    <w:p w14:paraId="68212AAB">
      <w:pPr>
        <w:pStyle w:val="57"/>
        <w:rPr>
          <w:rFonts w:hint="eastAsia"/>
          <w:color w:val="000000"/>
        </w:rPr>
      </w:pPr>
      <w:r>
        <w:rPr>
          <w:rFonts w:hint="eastAsia"/>
          <w:color w:val="000000"/>
        </w:rPr>
        <w:t>招标代理的服务范畴涵盖工程施工类招标、物资设备类招标与服务协作类招标。</w:t>
      </w:r>
    </w:p>
    <w:p w14:paraId="7E5C57F3">
      <w:pPr>
        <w:pStyle w:val="57"/>
        <w:rPr>
          <w:color w:val="000000"/>
        </w:rPr>
      </w:pPr>
      <w:r>
        <w:rPr>
          <w:rFonts w:hint="eastAsia"/>
          <w:color w:val="000000"/>
        </w:rPr>
        <w:t>应在建设单位委托的范围内开展工作，包括编制招标文件、发布招标公告、组织开标评标、协助签订合同等。代理权限需在书面委托合同中明确约定。</w:t>
      </w:r>
    </w:p>
    <w:p w14:paraId="56E4D1C5">
      <w:pPr>
        <w:pStyle w:val="57"/>
        <w:rPr>
          <w:color w:val="000000"/>
        </w:rPr>
      </w:pPr>
      <w:r>
        <w:rPr>
          <w:rFonts w:hint="eastAsia"/>
          <w:color w:val="000000"/>
        </w:rPr>
        <w:t>严守执业边界，在所代理的招标项目中，应禁止自身参与投标或代理其他主体投标，不得为特定投标人提供倾向性咨询服务或协助其获取竞争优势。</w:t>
      </w:r>
    </w:p>
    <w:p w14:paraId="7F292985">
      <w:pPr>
        <w:pStyle w:val="57"/>
        <w:rPr>
          <w:color w:val="000000"/>
        </w:rPr>
      </w:pPr>
      <w:r>
        <w:rPr>
          <w:rFonts w:hint="eastAsia"/>
          <w:color w:val="000000"/>
        </w:rPr>
        <w:t>协助建设单位与中标人签订合同，合同内容需与招标文件和投标文件一致，不得签订背离实质性内容的协议。</w:t>
      </w:r>
    </w:p>
    <w:p w14:paraId="5E14F697">
      <w:pPr>
        <w:pStyle w:val="51"/>
        <w:spacing w:before="120" w:after="120"/>
        <w:rPr>
          <w:color w:val="000000"/>
        </w:rPr>
      </w:pPr>
      <w:bookmarkStart w:id="246" w:name="_Toc16489"/>
      <w:bookmarkStart w:id="247" w:name="_Toc9359"/>
      <w:r>
        <w:rPr>
          <w:rFonts w:hint="eastAsia"/>
          <w:color w:val="000000"/>
        </w:rPr>
        <w:t>招标采购前期准备主要工作</w:t>
      </w:r>
      <w:bookmarkEnd w:id="246"/>
      <w:bookmarkEnd w:id="247"/>
    </w:p>
    <w:p w14:paraId="4BD42140">
      <w:pPr>
        <w:pStyle w:val="57"/>
        <w:rPr>
          <w:color w:val="000000"/>
        </w:rPr>
      </w:pPr>
      <w:r>
        <w:rPr>
          <w:rFonts w:hint="eastAsia"/>
          <w:color w:val="000000"/>
        </w:rPr>
        <w:t>分析项目特点，制定招标方案，包括招标方式、标段划分、评标办法等。</w:t>
      </w:r>
    </w:p>
    <w:p w14:paraId="135370F1">
      <w:pPr>
        <w:pStyle w:val="57"/>
        <w:rPr>
          <w:color w:val="000000"/>
        </w:rPr>
      </w:pPr>
      <w:r>
        <w:rPr>
          <w:rFonts w:hint="eastAsia"/>
          <w:color w:val="000000"/>
        </w:rPr>
        <w:t>编制招标文件，包括招标公告、投标邀请书、投标须知、合同条款、技术规格书等。</w:t>
      </w:r>
    </w:p>
    <w:p w14:paraId="2B8462F2">
      <w:pPr>
        <w:pStyle w:val="57"/>
        <w:rPr>
          <w:color w:val="000000"/>
        </w:rPr>
      </w:pPr>
      <w:r>
        <w:rPr>
          <w:rFonts w:hint="eastAsia"/>
          <w:color w:val="000000"/>
        </w:rPr>
        <w:t>参加招标文件审查会议并形成会议纪要。</w:t>
      </w:r>
    </w:p>
    <w:p w14:paraId="6A14FC62">
      <w:pPr>
        <w:pStyle w:val="51"/>
        <w:spacing w:before="120" w:after="120"/>
        <w:rPr>
          <w:color w:val="000000"/>
        </w:rPr>
      </w:pPr>
      <w:bookmarkStart w:id="248" w:name="_Toc20041"/>
      <w:bookmarkStart w:id="249" w:name="_Toc14458"/>
      <w:r>
        <w:rPr>
          <w:rFonts w:hint="eastAsia"/>
          <w:color w:val="000000"/>
        </w:rPr>
        <w:t>招标过程管理主要工作</w:t>
      </w:r>
      <w:bookmarkEnd w:id="248"/>
      <w:bookmarkEnd w:id="249"/>
    </w:p>
    <w:p w14:paraId="5AE95B30">
      <w:pPr>
        <w:pStyle w:val="57"/>
        <w:rPr>
          <w:color w:val="000000"/>
        </w:rPr>
      </w:pPr>
      <w:r>
        <w:rPr>
          <w:rFonts w:hint="eastAsia"/>
          <w:color w:val="000000"/>
        </w:rPr>
        <w:t>发布招标公告或投标邀请书，征集潜在投标人。</w:t>
      </w:r>
    </w:p>
    <w:p w14:paraId="2E986F46">
      <w:pPr>
        <w:pStyle w:val="57"/>
        <w:rPr>
          <w:color w:val="000000"/>
        </w:rPr>
      </w:pPr>
      <w:r>
        <w:rPr>
          <w:rFonts w:hint="eastAsia"/>
          <w:color w:val="000000"/>
        </w:rPr>
        <w:t>组织投标人报名，发放招标文件，解答投标人疑问。</w:t>
      </w:r>
    </w:p>
    <w:p w14:paraId="5AC1ED4D">
      <w:pPr>
        <w:pStyle w:val="57"/>
        <w:rPr>
          <w:color w:val="000000"/>
        </w:rPr>
      </w:pPr>
      <w:r>
        <w:rPr>
          <w:rFonts w:hint="eastAsia"/>
          <w:color w:val="000000"/>
        </w:rPr>
        <w:t>组织投标人踏勘现场，召开投标预备会。</w:t>
      </w:r>
    </w:p>
    <w:p w14:paraId="554A9CBB">
      <w:pPr>
        <w:pStyle w:val="57"/>
        <w:rPr>
          <w:color w:val="000000"/>
        </w:rPr>
      </w:pPr>
      <w:r>
        <w:rPr>
          <w:rFonts w:hint="eastAsia"/>
          <w:color w:val="000000"/>
        </w:rPr>
        <w:t>审核投标人资格，确保其具备投标资格。</w:t>
      </w:r>
    </w:p>
    <w:p w14:paraId="57B9DA54">
      <w:pPr>
        <w:pStyle w:val="57"/>
        <w:rPr>
          <w:color w:val="000000"/>
        </w:rPr>
      </w:pPr>
      <w:r>
        <w:rPr>
          <w:rFonts w:hint="eastAsia"/>
          <w:color w:val="000000"/>
        </w:rPr>
        <w:t>组织开标、评标活动，确保评标过程公平、公正、透明。</w:t>
      </w:r>
    </w:p>
    <w:p w14:paraId="61932187">
      <w:pPr>
        <w:pStyle w:val="57"/>
        <w:rPr>
          <w:color w:val="000000"/>
        </w:rPr>
      </w:pPr>
      <w:r>
        <w:rPr>
          <w:rFonts w:hint="eastAsia"/>
          <w:color w:val="000000"/>
        </w:rPr>
        <w:t>编制评标报告，梳理中标候选人。</w:t>
      </w:r>
    </w:p>
    <w:p w14:paraId="44A5CB0E">
      <w:pPr>
        <w:pStyle w:val="51"/>
        <w:spacing w:before="120" w:after="120"/>
        <w:rPr>
          <w:color w:val="000000"/>
        </w:rPr>
      </w:pPr>
      <w:bookmarkStart w:id="250" w:name="_Toc28849"/>
      <w:bookmarkStart w:id="251" w:name="_Toc12898"/>
      <w:r>
        <w:rPr>
          <w:rFonts w:hint="eastAsia"/>
          <w:color w:val="000000"/>
        </w:rPr>
        <w:t>中标及合同签订主要工作</w:t>
      </w:r>
      <w:bookmarkEnd w:id="250"/>
      <w:bookmarkEnd w:id="251"/>
    </w:p>
    <w:p w14:paraId="10EC9E9B">
      <w:pPr>
        <w:pStyle w:val="57"/>
        <w:rPr>
          <w:color w:val="000000"/>
        </w:rPr>
      </w:pPr>
      <w:r>
        <w:rPr>
          <w:rFonts w:hint="eastAsia"/>
          <w:color w:val="000000"/>
        </w:rPr>
        <w:t>协助建设单位确定中标单位。</w:t>
      </w:r>
    </w:p>
    <w:p w14:paraId="12704093">
      <w:pPr>
        <w:pStyle w:val="57"/>
        <w:rPr>
          <w:color w:val="000000"/>
        </w:rPr>
      </w:pPr>
      <w:r>
        <w:rPr>
          <w:rFonts w:hint="eastAsia"/>
          <w:color w:val="000000"/>
        </w:rPr>
        <w:t>发布中标公告，通知中标单位和中标结果。</w:t>
      </w:r>
    </w:p>
    <w:p w14:paraId="14AD382E">
      <w:pPr>
        <w:pStyle w:val="57"/>
        <w:rPr>
          <w:color w:val="000000"/>
        </w:rPr>
      </w:pPr>
      <w:r>
        <w:rPr>
          <w:rFonts w:hint="eastAsia"/>
          <w:color w:val="000000"/>
        </w:rPr>
        <w:t>组织中标单位与建设单位签订合同，并提供相关服务。</w:t>
      </w:r>
    </w:p>
    <w:p w14:paraId="4C4B7DEA">
      <w:pPr>
        <w:pStyle w:val="57"/>
        <w:rPr>
          <w:color w:val="000000"/>
        </w:rPr>
      </w:pPr>
      <w:r>
        <w:rPr>
          <w:rFonts w:hint="eastAsia"/>
          <w:color w:val="000000"/>
        </w:rPr>
        <w:t>审核投标人资格，确保其具备投标资格。</w:t>
      </w:r>
    </w:p>
    <w:p w14:paraId="01DD23A1">
      <w:pPr>
        <w:pStyle w:val="51"/>
        <w:spacing w:before="120" w:after="120"/>
        <w:rPr>
          <w:color w:val="000000"/>
        </w:rPr>
      </w:pPr>
      <w:bookmarkStart w:id="252" w:name="_Toc2365"/>
      <w:bookmarkStart w:id="253" w:name="_Toc9044"/>
      <w:r>
        <w:rPr>
          <w:rFonts w:hint="eastAsia"/>
          <w:color w:val="000000"/>
        </w:rPr>
        <w:t>其他主要工作</w:t>
      </w:r>
      <w:bookmarkEnd w:id="252"/>
      <w:bookmarkEnd w:id="253"/>
    </w:p>
    <w:p w14:paraId="37855C0F">
      <w:pPr>
        <w:pStyle w:val="57"/>
        <w:rPr>
          <w:color w:val="000000"/>
        </w:rPr>
      </w:pPr>
      <w:r>
        <w:rPr>
          <w:rFonts w:hint="eastAsia"/>
          <w:color w:val="000000"/>
        </w:rPr>
        <w:t>对招标过程进行总结，收集各方反馈，持续优化招标方案。</w:t>
      </w:r>
    </w:p>
    <w:p w14:paraId="1C540610">
      <w:pPr>
        <w:pStyle w:val="57"/>
        <w:rPr>
          <w:color w:val="000000"/>
        </w:rPr>
      </w:pPr>
      <w:r>
        <w:rPr>
          <w:rFonts w:hint="eastAsia"/>
          <w:color w:val="000000"/>
        </w:rPr>
        <w:t>协助建设单位处理合同履行过程中的纠纷。</w:t>
      </w:r>
    </w:p>
    <w:p w14:paraId="42C62FBD">
      <w:pPr>
        <w:pStyle w:val="57"/>
        <w:rPr>
          <w:color w:val="000000"/>
        </w:rPr>
      </w:pPr>
      <w:r>
        <w:rPr>
          <w:rFonts w:hint="eastAsia"/>
          <w:color w:val="000000"/>
        </w:rPr>
        <w:t>整理招标过程中的各类文件资料，建立档案，确保档案的完整性、真实性和可追溯性。</w:t>
      </w:r>
    </w:p>
    <w:p w14:paraId="28BFF9C5">
      <w:pPr>
        <w:pStyle w:val="57"/>
        <w:rPr>
          <w:rFonts w:hint="eastAsia"/>
          <w:color w:val="000000"/>
        </w:rPr>
      </w:pPr>
      <w:r>
        <w:rPr>
          <w:rFonts w:hint="eastAsia"/>
          <w:color w:val="000000"/>
        </w:rPr>
        <w:t>定期对招标工作进行自查，配合相关部门进行监督检查，提供所需资料。</w:t>
      </w:r>
    </w:p>
    <w:bookmarkEnd w:id="194"/>
    <w:bookmarkEnd w:id="195"/>
    <w:bookmarkEnd w:id="196"/>
    <w:bookmarkEnd w:id="197"/>
    <w:bookmarkEnd w:id="198"/>
    <w:p w14:paraId="52EA81BD">
      <w:pPr>
        <w:pStyle w:val="49"/>
        <w:spacing w:before="240" w:after="240"/>
        <w:rPr>
          <w:rFonts w:hint="eastAsia"/>
          <w:color w:val="000000"/>
        </w:rPr>
      </w:pPr>
      <w:bookmarkStart w:id="254" w:name="_Toc155604572"/>
      <w:bookmarkStart w:id="255" w:name="_Toc155714293"/>
      <w:bookmarkStart w:id="256" w:name="_Toc155628734"/>
      <w:bookmarkStart w:id="257" w:name="_Toc155714353"/>
      <w:bookmarkStart w:id="258" w:name="_Toc155628797"/>
      <w:bookmarkStart w:id="259" w:name="_Toc155604582"/>
      <w:bookmarkStart w:id="260" w:name="_Toc155714302"/>
      <w:bookmarkStart w:id="261" w:name="_Toc155628806"/>
      <w:bookmarkStart w:id="262" w:name="_Toc155714362"/>
      <w:bookmarkStart w:id="263" w:name="_Toc155628743"/>
      <w:r>
        <w:rPr>
          <w:rFonts w:hint="eastAsia"/>
          <w:color w:val="000000"/>
        </w:rPr>
        <w:t xml:space="preserve"> </w:t>
      </w:r>
      <w:bookmarkStart w:id="264" w:name="_Toc15185"/>
      <w:r>
        <w:rPr>
          <w:rFonts w:hint="eastAsia"/>
          <w:color w:val="000000"/>
        </w:rPr>
        <w:t>工程监理</w:t>
      </w:r>
      <w:bookmarkEnd w:id="264"/>
    </w:p>
    <w:p w14:paraId="0996A11D">
      <w:pPr>
        <w:pStyle w:val="51"/>
        <w:spacing w:before="120" w:after="120"/>
        <w:rPr>
          <w:rFonts w:hint="eastAsia"/>
          <w:color w:val="000000"/>
        </w:rPr>
      </w:pPr>
      <w:bookmarkStart w:id="265" w:name="_Toc3963"/>
      <w:r>
        <w:rPr>
          <w:rFonts w:hint="eastAsia"/>
          <w:color w:val="000000"/>
        </w:rPr>
        <w:t>一般规定</w:t>
      </w:r>
      <w:bookmarkEnd w:id="265"/>
    </w:p>
    <w:p w14:paraId="1B44910C">
      <w:pPr>
        <w:pStyle w:val="57"/>
        <w:rPr>
          <w:rFonts w:hint="eastAsia"/>
          <w:color w:val="000000"/>
        </w:rPr>
      </w:pPr>
      <w:r>
        <w:rPr>
          <w:rFonts w:hint="eastAsia"/>
          <w:color w:val="000000"/>
        </w:rPr>
        <w:t>工程监理应按照合同要求，对光伏工程质量、造价、进度进行控制，对合同、信息进行管理，对工程建设相关方进行协调，并履行建设工程安全生产管理法定监理职责。</w:t>
      </w:r>
    </w:p>
    <w:p w14:paraId="3A4B146F">
      <w:pPr>
        <w:pStyle w:val="57"/>
        <w:rPr>
          <w:rFonts w:hint="eastAsia"/>
          <w:color w:val="000000"/>
        </w:rPr>
      </w:pPr>
      <w:r>
        <w:rPr>
          <w:rFonts w:hint="eastAsia"/>
          <w:color w:val="000000"/>
        </w:rPr>
        <w:t>工程监理应按照合同约定，合理配置监理人员，配备满足监理工作需要的检测设备和工器具。</w:t>
      </w:r>
    </w:p>
    <w:p w14:paraId="50028732">
      <w:pPr>
        <w:pStyle w:val="57"/>
        <w:rPr>
          <w:rFonts w:hint="eastAsia"/>
          <w:color w:val="000000"/>
        </w:rPr>
      </w:pPr>
      <w:r>
        <w:rPr>
          <w:rFonts w:hint="eastAsia"/>
          <w:color w:val="000000"/>
        </w:rPr>
        <w:t>参加设计交底和图纸会检会议，签认会议纪要。</w:t>
      </w:r>
    </w:p>
    <w:p w14:paraId="79DD9B91">
      <w:pPr>
        <w:pStyle w:val="57"/>
        <w:rPr>
          <w:rFonts w:hint="eastAsia"/>
          <w:color w:val="000000"/>
        </w:rPr>
      </w:pPr>
      <w:r>
        <w:rPr>
          <w:rFonts w:hint="eastAsia"/>
          <w:color w:val="000000"/>
        </w:rPr>
        <w:t>审查施工单位报送的主要管理人员、施工机械、测量设备、工程材料、施工方案、施工控制测量成果、施工质量验收范围划分、检测试验计划、试验单位资格等质量管理相关文件，根据需要报建设单位批准并监督执行。</w:t>
      </w:r>
    </w:p>
    <w:p w14:paraId="2B7DD218">
      <w:pPr>
        <w:pStyle w:val="57"/>
        <w:rPr>
          <w:rFonts w:hint="eastAsia"/>
          <w:color w:val="000000"/>
        </w:rPr>
      </w:pPr>
      <w:r>
        <w:rPr>
          <w:rFonts w:hint="eastAsia"/>
          <w:color w:val="000000"/>
        </w:rPr>
        <w:t>审查开工报审资料，建设单位批准后，签发工程开工令。</w:t>
      </w:r>
    </w:p>
    <w:p w14:paraId="63DFD54A">
      <w:pPr>
        <w:pStyle w:val="57"/>
        <w:rPr>
          <w:rFonts w:hint="eastAsia"/>
          <w:color w:val="000000"/>
        </w:rPr>
      </w:pPr>
      <w:r>
        <w:rPr>
          <w:rFonts w:hint="eastAsia"/>
          <w:color w:val="000000"/>
        </w:rPr>
        <w:t>通过见证、旁站、巡视等手段，对光伏发电工程质量进行检查。</w:t>
      </w:r>
    </w:p>
    <w:p w14:paraId="6D734642">
      <w:pPr>
        <w:pStyle w:val="57"/>
        <w:rPr>
          <w:rFonts w:hint="eastAsia"/>
          <w:color w:val="000000"/>
        </w:rPr>
      </w:pPr>
      <w:r>
        <w:rPr>
          <w:rFonts w:hint="eastAsia"/>
          <w:color w:val="000000"/>
        </w:rPr>
        <w:t>监督检查光伏发电工程管理制度、建设标准强制性条文、质量通病防治措施的执行和落实。</w:t>
      </w:r>
    </w:p>
    <w:p w14:paraId="73395089">
      <w:pPr>
        <w:pStyle w:val="57"/>
        <w:rPr>
          <w:rFonts w:hint="eastAsia"/>
          <w:color w:val="000000"/>
        </w:rPr>
      </w:pPr>
      <w:r>
        <w:rPr>
          <w:rFonts w:hint="eastAsia"/>
          <w:color w:val="000000"/>
        </w:rPr>
        <w:t>参与主要设备材料和构配件的开箱验收，验收通过后予以签认。</w:t>
      </w:r>
    </w:p>
    <w:p w14:paraId="79552F39">
      <w:pPr>
        <w:pStyle w:val="57"/>
        <w:rPr>
          <w:rFonts w:hint="eastAsia"/>
          <w:color w:val="000000"/>
        </w:rPr>
      </w:pPr>
      <w:r>
        <w:rPr>
          <w:rFonts w:hint="eastAsia"/>
          <w:color w:val="000000"/>
        </w:rPr>
        <w:t>对光伏发电工程发电升压站和外送线路等工程，配合各级质量检查和质量监督，督促完成问题整改闭环。</w:t>
      </w:r>
    </w:p>
    <w:p w14:paraId="17D84825">
      <w:pPr>
        <w:pStyle w:val="57"/>
        <w:rPr>
          <w:rFonts w:hint="eastAsia"/>
          <w:color w:val="000000"/>
        </w:rPr>
      </w:pPr>
      <w:r>
        <w:rPr>
          <w:rFonts w:hint="eastAsia"/>
          <w:color w:val="000000"/>
        </w:rPr>
        <w:t>组织开展检验批、分项工程、分部工程验收及单位工程预验收，参加单位工程验收。</w:t>
      </w:r>
    </w:p>
    <w:p w14:paraId="52F34471">
      <w:pPr>
        <w:pStyle w:val="57"/>
        <w:rPr>
          <w:rFonts w:hint="eastAsia"/>
          <w:color w:val="000000"/>
        </w:rPr>
      </w:pPr>
      <w:r>
        <w:rPr>
          <w:rFonts w:hint="eastAsia"/>
          <w:color w:val="000000"/>
        </w:rPr>
        <w:t>组织竣工预验收，预验收合格后编写工程质量评估报告，按规定程序审批后向建设单位提交。</w:t>
      </w:r>
    </w:p>
    <w:p w14:paraId="17BDB63A">
      <w:pPr>
        <w:pStyle w:val="57"/>
        <w:rPr>
          <w:rFonts w:hint="eastAsia" w:ascii="仿宋_GB2312" w:hAnsi="仿宋_GB2312" w:eastAsia="仿宋_GB2312" w:cs="仿宋_GB2312"/>
          <w:color w:val="000000"/>
          <w:sz w:val="32"/>
          <w:szCs w:val="28"/>
        </w:rPr>
      </w:pPr>
      <w:r>
        <w:rPr>
          <w:rFonts w:hint="eastAsia"/>
          <w:color w:val="000000"/>
        </w:rPr>
        <w:t>参加工程竣工验收、启动验收以及安全设施、环境保护、水土保持及档案等专项验收。</w:t>
      </w:r>
    </w:p>
    <w:p w14:paraId="1D17B858">
      <w:pPr>
        <w:pStyle w:val="51"/>
        <w:spacing w:before="120" w:after="120"/>
        <w:rPr>
          <w:rFonts w:hint="eastAsia"/>
          <w:color w:val="000000"/>
        </w:rPr>
      </w:pPr>
      <w:bookmarkStart w:id="266" w:name="_Toc8190"/>
      <w:r>
        <w:rPr>
          <w:rFonts w:hint="eastAsia"/>
          <w:color w:val="000000"/>
        </w:rPr>
        <w:t>勘察设计监理主要工作</w:t>
      </w:r>
      <w:bookmarkEnd w:id="266"/>
    </w:p>
    <w:p w14:paraId="207DD7E4">
      <w:pPr>
        <w:pStyle w:val="57"/>
        <w:rPr>
          <w:rFonts w:hint="eastAsia"/>
          <w:color w:val="000000"/>
        </w:rPr>
      </w:pPr>
      <w:r>
        <w:rPr>
          <w:rFonts w:hint="eastAsia"/>
          <w:color w:val="000000"/>
        </w:rPr>
        <w:t xml:space="preserve"> 勘察阶段监理主要工作内容应包括: </w:t>
      </w:r>
    </w:p>
    <w:p w14:paraId="58B8608D">
      <w:pPr>
        <w:pStyle w:val="65"/>
        <w:numPr>
          <w:ilvl w:val="0"/>
          <w:numId w:val="31"/>
        </w:numPr>
        <w:rPr>
          <w:rFonts w:hint="eastAsia"/>
          <w:color w:val="000000"/>
        </w:rPr>
      </w:pPr>
      <w:r>
        <w:rPr>
          <w:rFonts w:hint="eastAsia"/>
          <w:color w:val="000000"/>
        </w:rPr>
        <w:t xml:space="preserve">审查勘察方案等策划文件,提出审查意见,报建设单位； </w:t>
      </w:r>
    </w:p>
    <w:p w14:paraId="1C441A83">
      <w:pPr>
        <w:pStyle w:val="65"/>
        <w:numPr>
          <w:ilvl w:val="0"/>
          <w:numId w:val="31"/>
        </w:numPr>
        <w:rPr>
          <w:rFonts w:hint="eastAsia"/>
          <w:color w:val="000000"/>
        </w:rPr>
      </w:pPr>
      <w:r>
        <w:rPr>
          <w:rFonts w:hint="eastAsia"/>
          <w:color w:val="000000"/>
        </w:rPr>
        <w:t xml:space="preserve">检查勘察单位资质材料、现场人员持证、设备和计量仪器计量检定情况； </w:t>
      </w:r>
    </w:p>
    <w:p w14:paraId="35330101">
      <w:pPr>
        <w:pStyle w:val="65"/>
        <w:numPr>
          <w:ilvl w:val="0"/>
          <w:numId w:val="31"/>
        </w:numPr>
        <w:rPr>
          <w:rFonts w:hint="eastAsia"/>
          <w:color w:val="000000"/>
        </w:rPr>
      </w:pPr>
      <w:r>
        <w:rPr>
          <w:rFonts w:hint="eastAsia"/>
          <w:color w:val="000000"/>
        </w:rPr>
        <w:t xml:space="preserve">检查勘察方案执行情况,对重要点位现场检查,必要时进行旁站； </w:t>
      </w:r>
    </w:p>
    <w:p w14:paraId="5260819F">
      <w:pPr>
        <w:pStyle w:val="65"/>
        <w:numPr>
          <w:ilvl w:val="0"/>
          <w:numId w:val="31"/>
        </w:numPr>
        <w:rPr>
          <w:rFonts w:hint="eastAsia"/>
          <w:color w:val="000000"/>
        </w:rPr>
      </w:pPr>
      <w:r>
        <w:rPr>
          <w:rFonts w:hint="eastAsia"/>
          <w:color w:val="000000"/>
        </w:rPr>
        <w:t>审查勘察进度计划,并督促勘察单位完成；</w:t>
      </w:r>
    </w:p>
    <w:p w14:paraId="546530E8">
      <w:pPr>
        <w:pStyle w:val="65"/>
        <w:numPr>
          <w:ilvl w:val="0"/>
          <w:numId w:val="31"/>
        </w:numPr>
        <w:rPr>
          <w:rFonts w:hint="eastAsia"/>
          <w:color w:val="000000"/>
        </w:rPr>
      </w:pPr>
      <w:r>
        <w:rPr>
          <w:rFonts w:hint="eastAsia"/>
          <w:color w:val="000000"/>
        </w:rPr>
        <w:t xml:space="preserve">审查勘察单位提交的勘察报告和成果报审表并参加成果验收； </w:t>
      </w:r>
    </w:p>
    <w:p w14:paraId="201DD2EC">
      <w:pPr>
        <w:pStyle w:val="65"/>
        <w:numPr>
          <w:ilvl w:val="0"/>
          <w:numId w:val="31"/>
        </w:numPr>
        <w:rPr>
          <w:rFonts w:hint="eastAsia"/>
          <w:color w:val="000000"/>
        </w:rPr>
      </w:pPr>
      <w:r>
        <w:rPr>
          <w:rFonts w:hint="eastAsia"/>
          <w:color w:val="000000"/>
        </w:rPr>
        <w:t>审查勘察成果评估报告、工作总结等文件；</w:t>
      </w:r>
    </w:p>
    <w:p w14:paraId="427AF7DD">
      <w:pPr>
        <w:pStyle w:val="65"/>
        <w:numPr>
          <w:ilvl w:val="0"/>
          <w:numId w:val="31"/>
        </w:numPr>
        <w:rPr>
          <w:rFonts w:hint="eastAsia"/>
          <w:color w:val="000000"/>
        </w:rPr>
      </w:pPr>
      <w:r>
        <w:rPr>
          <w:rFonts w:hint="eastAsia"/>
          <w:color w:val="000000"/>
        </w:rPr>
        <w:t>审查勘察相关光伏发电工程结算文件。</w:t>
      </w:r>
    </w:p>
    <w:p w14:paraId="672914D7">
      <w:pPr>
        <w:pStyle w:val="57"/>
        <w:rPr>
          <w:rFonts w:hint="eastAsia"/>
          <w:color w:val="000000"/>
        </w:rPr>
      </w:pPr>
      <w:r>
        <w:rPr>
          <w:rFonts w:hint="eastAsia"/>
          <w:color w:val="000000"/>
        </w:rPr>
        <w:t xml:space="preserve">设计阶段监理主要工作内容应包括: </w:t>
      </w:r>
    </w:p>
    <w:p w14:paraId="721AD70B">
      <w:pPr>
        <w:pStyle w:val="65"/>
        <w:numPr>
          <w:ilvl w:val="0"/>
          <w:numId w:val="32"/>
        </w:numPr>
        <w:rPr>
          <w:rFonts w:hint="eastAsia"/>
          <w:color w:val="000000"/>
        </w:rPr>
      </w:pPr>
      <w:r>
        <w:rPr>
          <w:rFonts w:hint="eastAsia"/>
          <w:color w:val="000000"/>
        </w:rPr>
        <w:t xml:space="preserve">审查设计方案等策划文件,提出审查意见； </w:t>
      </w:r>
    </w:p>
    <w:p w14:paraId="4607F085">
      <w:pPr>
        <w:pStyle w:val="65"/>
        <w:numPr>
          <w:ilvl w:val="0"/>
          <w:numId w:val="32"/>
        </w:numPr>
        <w:rPr>
          <w:rFonts w:hint="eastAsia"/>
          <w:color w:val="000000"/>
        </w:rPr>
      </w:pPr>
      <w:r>
        <w:rPr>
          <w:rFonts w:hint="eastAsia"/>
          <w:color w:val="000000"/>
        </w:rPr>
        <w:t>检查设计单位资质材料、现场人员持证、设备投入情况；</w:t>
      </w:r>
    </w:p>
    <w:p w14:paraId="4D5A542E">
      <w:pPr>
        <w:pStyle w:val="65"/>
        <w:numPr>
          <w:ilvl w:val="0"/>
          <w:numId w:val="32"/>
        </w:numPr>
        <w:rPr>
          <w:rFonts w:hint="eastAsia"/>
          <w:color w:val="000000"/>
        </w:rPr>
      </w:pPr>
      <w:r>
        <w:rPr>
          <w:rFonts w:hint="eastAsia"/>
          <w:color w:val="000000"/>
        </w:rPr>
        <w:t xml:space="preserve">对初步设计、施工图设计的进度定期检查,及时反馈滞后信息,组织进度纠偏; </w:t>
      </w:r>
    </w:p>
    <w:p w14:paraId="3FBFAF8E">
      <w:pPr>
        <w:pStyle w:val="65"/>
        <w:numPr>
          <w:ilvl w:val="0"/>
          <w:numId w:val="32"/>
        </w:numPr>
        <w:rPr>
          <w:rFonts w:hint="eastAsia"/>
          <w:color w:val="000000"/>
        </w:rPr>
      </w:pPr>
      <w:r>
        <w:rPr>
          <w:rFonts w:hint="eastAsia"/>
          <w:color w:val="000000"/>
        </w:rPr>
        <w:t>审查地面集中式光伏发电项目、分布式光伏发电项目初</w:t>
      </w:r>
      <w:r>
        <w:rPr>
          <w:rFonts w:hint="eastAsia"/>
          <w:color w:val="000000"/>
          <w:lang w:val="en-US" w:eastAsia="zh-CN"/>
        </w:rPr>
        <w:t>步设计</w:t>
      </w:r>
      <w:r>
        <w:rPr>
          <w:rFonts w:hint="eastAsia"/>
          <w:color w:val="000000"/>
        </w:rPr>
        <w:t>文件、施</w:t>
      </w:r>
      <w:r>
        <w:rPr>
          <w:rFonts w:hint="eastAsia"/>
          <w:color w:val="000000"/>
          <w:lang w:val="en-US" w:eastAsia="zh-CN"/>
        </w:rPr>
        <w:t>工图</w:t>
      </w:r>
      <w:r>
        <w:rPr>
          <w:rFonts w:hint="eastAsia"/>
          <w:color w:val="000000"/>
        </w:rPr>
        <w:t>设</w:t>
      </w:r>
      <w:r>
        <w:rPr>
          <w:rFonts w:hint="eastAsia"/>
          <w:color w:val="000000"/>
          <w:lang w:val="en-US" w:eastAsia="zh-CN"/>
        </w:rPr>
        <w:t>计</w:t>
      </w:r>
      <w:r>
        <w:rPr>
          <w:rFonts w:hint="eastAsia"/>
          <w:color w:val="000000"/>
        </w:rPr>
        <w:t>文件、竣</w:t>
      </w:r>
      <w:r>
        <w:rPr>
          <w:rFonts w:hint="eastAsia"/>
          <w:color w:val="000000"/>
          <w:lang w:val="en-US" w:eastAsia="zh-CN"/>
        </w:rPr>
        <w:t>工图</w:t>
      </w:r>
      <w:r>
        <w:rPr>
          <w:rFonts w:hint="eastAsia"/>
          <w:color w:val="000000"/>
        </w:rPr>
        <w:t>设</w:t>
      </w:r>
      <w:r>
        <w:rPr>
          <w:rFonts w:hint="eastAsia"/>
          <w:color w:val="000000"/>
          <w:lang w:val="en-US" w:eastAsia="zh-CN"/>
        </w:rPr>
        <w:t>计</w:t>
      </w:r>
      <w:r>
        <w:rPr>
          <w:rFonts w:hint="eastAsia"/>
          <w:color w:val="000000"/>
        </w:rPr>
        <w:t>文件,核查执行工程建设强制性标准、相关管理制度、质量通病防治措施、抗风能力、避雪功能等情况,提出审查意见;</w:t>
      </w:r>
    </w:p>
    <w:p w14:paraId="37BC916D">
      <w:pPr>
        <w:pStyle w:val="65"/>
        <w:numPr>
          <w:ilvl w:val="0"/>
          <w:numId w:val="32"/>
        </w:numPr>
        <w:rPr>
          <w:rFonts w:hint="eastAsia"/>
          <w:color w:val="000000"/>
        </w:rPr>
      </w:pPr>
      <w:r>
        <w:rPr>
          <w:rFonts w:hint="eastAsia"/>
          <w:color w:val="000000"/>
        </w:rPr>
        <w:t>审查</w:t>
      </w:r>
      <w:r>
        <w:rPr>
          <w:rFonts w:hint="eastAsia" w:ascii="宋体" w:hAnsi="Times New Roman" w:eastAsia="宋体" w:cs="Times New Roman"/>
          <w:color w:val="000000"/>
        </w:rPr>
        <w:t>海上光伏发电工程</w:t>
      </w:r>
      <w:commentRangeStart w:id="10"/>
      <w:commentRangeStart w:id="11"/>
      <w:r>
        <w:rPr>
          <w:rFonts w:hint="eastAsia"/>
          <w:color w:val="000000"/>
        </w:rPr>
        <w:t>初</w:t>
      </w:r>
      <w:r>
        <w:rPr>
          <w:rFonts w:hint="eastAsia"/>
          <w:color w:val="000000"/>
          <w:lang w:val="en-US" w:eastAsia="zh-CN"/>
        </w:rPr>
        <w:t>步设计</w:t>
      </w:r>
      <w:r>
        <w:rPr>
          <w:rFonts w:hint="eastAsia"/>
          <w:color w:val="000000"/>
        </w:rPr>
        <w:t>文件、施</w:t>
      </w:r>
      <w:r>
        <w:rPr>
          <w:rFonts w:hint="eastAsia"/>
          <w:color w:val="000000"/>
          <w:lang w:val="en-US" w:eastAsia="zh-CN"/>
        </w:rPr>
        <w:t>工图</w:t>
      </w:r>
      <w:r>
        <w:rPr>
          <w:rFonts w:hint="eastAsia"/>
          <w:color w:val="000000"/>
        </w:rPr>
        <w:t>设</w:t>
      </w:r>
      <w:r>
        <w:rPr>
          <w:rFonts w:hint="eastAsia"/>
          <w:color w:val="000000"/>
          <w:lang w:val="en-US" w:eastAsia="zh-CN"/>
        </w:rPr>
        <w:t>计</w:t>
      </w:r>
      <w:r>
        <w:rPr>
          <w:rFonts w:hint="eastAsia"/>
          <w:color w:val="000000"/>
        </w:rPr>
        <w:t>文件、竣</w:t>
      </w:r>
      <w:r>
        <w:rPr>
          <w:rFonts w:hint="eastAsia"/>
          <w:color w:val="000000"/>
          <w:lang w:val="en-US" w:eastAsia="zh-CN"/>
        </w:rPr>
        <w:t>工图</w:t>
      </w:r>
      <w:r>
        <w:rPr>
          <w:rFonts w:hint="eastAsia"/>
          <w:color w:val="000000"/>
        </w:rPr>
        <w:t>设</w:t>
      </w:r>
      <w:r>
        <w:rPr>
          <w:rFonts w:hint="eastAsia"/>
          <w:color w:val="000000"/>
          <w:lang w:val="en-US" w:eastAsia="zh-CN"/>
        </w:rPr>
        <w:t>计</w:t>
      </w:r>
      <w:r>
        <w:rPr>
          <w:rFonts w:hint="eastAsia"/>
          <w:color w:val="000000"/>
        </w:rPr>
        <w:t>文件</w:t>
      </w:r>
      <w:commentRangeEnd w:id="10"/>
      <w:r>
        <w:commentReference w:id="10"/>
      </w:r>
      <w:commentRangeEnd w:id="11"/>
      <w:r>
        <w:commentReference w:id="11"/>
      </w:r>
      <w:r>
        <w:rPr>
          <w:rFonts w:hint="eastAsia"/>
          <w:color w:val="000000"/>
        </w:rPr>
        <w:t>,核查执行风荷载、波浪荷载、流荷载、水位落差、潮汐等情况,提出审查意见;</w:t>
      </w:r>
    </w:p>
    <w:p w14:paraId="39CAFC55">
      <w:pPr>
        <w:pStyle w:val="65"/>
        <w:numPr>
          <w:ilvl w:val="0"/>
          <w:numId w:val="32"/>
        </w:numPr>
        <w:rPr>
          <w:rFonts w:hint="eastAsia"/>
          <w:color w:val="000000"/>
        </w:rPr>
      </w:pPr>
      <w:r>
        <w:rPr>
          <w:rFonts w:hint="eastAsia"/>
          <w:color w:val="000000"/>
        </w:rPr>
        <w:t>协助建设单位组织并参与初</w:t>
      </w:r>
      <w:r>
        <w:rPr>
          <w:rFonts w:hint="eastAsia"/>
          <w:color w:val="000000"/>
          <w:lang w:val="en-US" w:eastAsia="zh-CN"/>
        </w:rPr>
        <w:t>步设计</w:t>
      </w:r>
      <w:r>
        <w:rPr>
          <w:rFonts w:hint="eastAsia"/>
          <w:color w:val="000000"/>
        </w:rPr>
        <w:t>文件、施</w:t>
      </w:r>
      <w:r>
        <w:rPr>
          <w:rFonts w:hint="eastAsia"/>
          <w:color w:val="000000"/>
          <w:lang w:val="en-US" w:eastAsia="zh-CN"/>
        </w:rPr>
        <w:t>工图</w:t>
      </w:r>
      <w:r>
        <w:rPr>
          <w:rFonts w:hint="eastAsia"/>
          <w:color w:val="000000"/>
        </w:rPr>
        <w:t>设</w:t>
      </w:r>
      <w:r>
        <w:rPr>
          <w:rFonts w:hint="eastAsia"/>
          <w:color w:val="000000"/>
          <w:lang w:val="en-US" w:eastAsia="zh-CN"/>
        </w:rPr>
        <w:t>计</w:t>
      </w:r>
      <w:r>
        <w:rPr>
          <w:rFonts w:hint="eastAsia"/>
          <w:color w:val="000000"/>
        </w:rPr>
        <w:t>文件审查;</w:t>
      </w:r>
    </w:p>
    <w:p w14:paraId="0DB2ACA2">
      <w:pPr>
        <w:pStyle w:val="65"/>
        <w:numPr>
          <w:ilvl w:val="0"/>
          <w:numId w:val="32"/>
        </w:numPr>
        <w:rPr>
          <w:rFonts w:hint="eastAsia"/>
          <w:color w:val="000000"/>
        </w:rPr>
      </w:pPr>
      <w:r>
        <w:rPr>
          <w:rFonts w:hint="eastAsia"/>
          <w:color w:val="000000"/>
        </w:rPr>
        <w:t>参加主要设备设计联络会；</w:t>
      </w:r>
    </w:p>
    <w:p w14:paraId="72323C89">
      <w:pPr>
        <w:pStyle w:val="65"/>
        <w:numPr>
          <w:ilvl w:val="0"/>
          <w:numId w:val="32"/>
        </w:numPr>
        <w:rPr>
          <w:rFonts w:hint="eastAsia"/>
          <w:color w:val="000000"/>
        </w:rPr>
      </w:pPr>
      <w:r>
        <w:rPr>
          <w:rFonts w:hint="eastAsia"/>
          <w:color w:val="000000"/>
        </w:rPr>
        <w:t xml:space="preserve">审查设计进度计划,并督促设计单位完成；  </w:t>
      </w:r>
    </w:p>
    <w:p w14:paraId="1A2D31B3">
      <w:pPr>
        <w:pStyle w:val="65"/>
        <w:numPr>
          <w:ilvl w:val="0"/>
          <w:numId w:val="32"/>
        </w:numPr>
        <w:rPr>
          <w:rFonts w:hint="eastAsia"/>
          <w:color w:val="000000"/>
        </w:rPr>
      </w:pPr>
      <w:r>
        <w:rPr>
          <w:rFonts w:hint="eastAsia"/>
          <w:color w:val="000000"/>
        </w:rPr>
        <w:t>审查设计相关光伏发电工程结算文件。</w:t>
      </w:r>
    </w:p>
    <w:p w14:paraId="0C81BB9A">
      <w:pPr>
        <w:pStyle w:val="51"/>
        <w:spacing w:before="120" w:after="120"/>
        <w:rPr>
          <w:rFonts w:hint="eastAsia"/>
          <w:color w:val="000000"/>
        </w:rPr>
      </w:pPr>
      <w:bookmarkStart w:id="267" w:name="_Toc8932"/>
      <w:r>
        <w:rPr>
          <w:rFonts w:hint="eastAsia"/>
          <w:color w:val="000000"/>
        </w:rPr>
        <w:t>施工监理主要工作</w:t>
      </w:r>
      <w:bookmarkEnd w:id="267"/>
    </w:p>
    <w:p w14:paraId="7F08F220">
      <w:pPr>
        <w:pStyle w:val="57"/>
        <w:rPr>
          <w:rFonts w:hint="eastAsia"/>
          <w:color w:val="000000"/>
        </w:rPr>
      </w:pPr>
      <w:r>
        <w:rPr>
          <w:rFonts w:hint="eastAsia"/>
          <w:color w:val="000000"/>
        </w:rPr>
        <w:t>监理策划工作主要内容包括：</w:t>
      </w:r>
    </w:p>
    <w:p w14:paraId="6EE90643">
      <w:pPr>
        <w:pStyle w:val="65"/>
        <w:numPr>
          <w:ilvl w:val="0"/>
          <w:numId w:val="33"/>
        </w:numPr>
        <w:rPr>
          <w:rFonts w:hint="eastAsia"/>
          <w:color w:val="000000"/>
        </w:rPr>
      </w:pPr>
      <w:r>
        <w:rPr>
          <w:rFonts w:hint="eastAsia"/>
          <w:color w:val="000000"/>
        </w:rPr>
        <w:t>编制监理规划，监理规划可纳入全过程工程咨询服务规划也可独立成册；</w:t>
      </w:r>
    </w:p>
    <w:p w14:paraId="592AB17B">
      <w:pPr>
        <w:pStyle w:val="65"/>
        <w:numPr>
          <w:ilvl w:val="0"/>
          <w:numId w:val="33"/>
        </w:numPr>
        <w:rPr>
          <w:rFonts w:hint="eastAsia"/>
          <w:color w:val="000000"/>
        </w:rPr>
      </w:pPr>
      <w:r>
        <w:rPr>
          <w:rFonts w:hint="eastAsia"/>
          <w:color w:val="000000"/>
        </w:rPr>
        <w:t>对地面集中式光伏发电项目、</w:t>
      </w:r>
      <w:r>
        <w:rPr>
          <w:rFonts w:hint="eastAsia"/>
          <w:color w:val="000000"/>
          <w:lang w:val="en-US" w:eastAsia="zh-CN"/>
        </w:rPr>
        <w:t>海上光伏发电工程</w:t>
      </w:r>
      <w:r>
        <w:rPr>
          <w:rFonts w:hint="eastAsia"/>
          <w:color w:val="000000"/>
        </w:rPr>
        <w:t>、特殊场景光伏发电项目等工程安装和调试专业性较强，以及部分危险性较大的、影响系统长期稳定运行的、涉及光伏组件固定方式分部分项工程，应编制专项监理实施细则。</w:t>
      </w:r>
    </w:p>
    <w:p w14:paraId="78185262">
      <w:pPr>
        <w:pStyle w:val="57"/>
        <w:rPr>
          <w:rFonts w:hint="eastAsia"/>
          <w:color w:val="000000"/>
        </w:rPr>
      </w:pPr>
      <w:r>
        <w:rPr>
          <w:rFonts w:hint="eastAsia"/>
          <w:color w:val="000000"/>
        </w:rPr>
        <w:t>工程质量控制工作主要内容包括：</w:t>
      </w:r>
      <w:r>
        <w:commentReference w:id="12"/>
      </w:r>
      <w:r>
        <w:commentReference w:id="13"/>
      </w:r>
    </w:p>
    <w:p w14:paraId="01EE1443">
      <w:pPr>
        <w:pStyle w:val="65"/>
        <w:numPr>
          <w:ilvl w:val="0"/>
          <w:numId w:val="34"/>
        </w:numPr>
        <w:rPr>
          <w:rFonts w:hint="eastAsia"/>
          <w:color w:val="000000"/>
        </w:rPr>
      </w:pPr>
      <w:r>
        <w:rPr>
          <w:rFonts w:hint="eastAsia"/>
          <w:color w:val="000000"/>
        </w:rPr>
        <w:t>审查施工单位报送的施工组织设计，根据光伏组件结构特性、地形地貌、水文环境、气象条件、光伏电站布置特点，研究分析主要设备交通运输方案、主要关键工序、总平面布置、总进度计划与资源投入情况及质量措施；</w:t>
      </w:r>
    </w:p>
    <w:p w14:paraId="60498789">
      <w:pPr>
        <w:pStyle w:val="65"/>
        <w:numPr>
          <w:ilvl w:val="0"/>
          <w:numId w:val="34"/>
        </w:numPr>
        <w:rPr>
          <w:rFonts w:hint="eastAsia"/>
          <w:color w:val="000000"/>
        </w:rPr>
      </w:pPr>
      <w:r>
        <w:rPr>
          <w:rFonts w:hint="eastAsia"/>
          <w:color w:val="000000"/>
          <w:lang w:val="en-US" w:eastAsia="zh-CN"/>
        </w:rPr>
        <w:t>海上光伏发电工程</w:t>
      </w:r>
      <w:r>
        <w:rPr>
          <w:rFonts w:hint="eastAsia"/>
          <w:color w:val="000000"/>
        </w:rPr>
        <w:t>漂浮、锚固系统施工后，应抽查检测浮体、浮台、锚固点等情况，检测结果应符合NB</w:t>
      </w:r>
      <w:r>
        <w:rPr>
          <w:rFonts w:hint="eastAsia"/>
          <w:color w:val="000000"/>
          <w:lang w:val="en-US" w:eastAsia="zh-CN"/>
        </w:rPr>
        <w:t>/</w:t>
      </w:r>
      <w:r>
        <w:rPr>
          <w:rFonts w:hint="eastAsia"/>
          <w:color w:val="000000"/>
        </w:rPr>
        <w:t>T 11353</w:t>
      </w:r>
      <w:r>
        <w:rPr>
          <w:rFonts w:hint="eastAsia"/>
          <w:color w:val="000000"/>
          <w:lang w:val="en-US" w:eastAsia="zh-CN"/>
        </w:rPr>
        <w:t>的规定</w:t>
      </w:r>
      <w:r>
        <w:rPr>
          <w:rFonts w:hint="eastAsia"/>
          <w:color w:val="000000"/>
        </w:rPr>
        <w:t>；</w:t>
      </w:r>
    </w:p>
    <w:p w14:paraId="0F734EA5">
      <w:pPr>
        <w:pStyle w:val="65"/>
        <w:numPr>
          <w:ilvl w:val="0"/>
          <w:numId w:val="34"/>
        </w:numPr>
        <w:rPr>
          <w:rFonts w:hint="eastAsia"/>
          <w:color w:val="000000"/>
        </w:rPr>
      </w:pPr>
      <w:r>
        <w:rPr>
          <w:rFonts w:hint="eastAsia"/>
          <w:color w:val="000000"/>
          <w:lang w:val="en-US" w:eastAsia="zh-CN"/>
        </w:rPr>
        <w:t>海上光伏发电工程</w:t>
      </w:r>
      <w:r>
        <w:rPr>
          <w:rFonts w:hint="eastAsia"/>
          <w:color w:val="000000"/>
        </w:rPr>
        <w:t>采用桩柱一体结构</w:t>
      </w:r>
      <w:r>
        <w:rPr>
          <w:rFonts w:hint="eastAsia"/>
          <w:color w:val="000000"/>
          <w:lang w:eastAsia="zh-CN"/>
        </w:rPr>
        <w:t>，</w:t>
      </w:r>
      <w:r>
        <w:rPr>
          <w:rFonts w:hint="eastAsia"/>
          <w:color w:val="000000"/>
          <w:lang w:val="en-US" w:eastAsia="zh-CN"/>
        </w:rPr>
        <w:t>桩长、桩径应符合 JGJ 94的规定，并综合考虑地质情况。</w:t>
      </w:r>
    </w:p>
    <w:p w14:paraId="4F5A55DA">
      <w:pPr>
        <w:pStyle w:val="65"/>
        <w:numPr>
          <w:ilvl w:val="0"/>
          <w:numId w:val="34"/>
        </w:numPr>
        <w:rPr>
          <w:rFonts w:hint="eastAsia"/>
          <w:color w:val="000000"/>
        </w:rPr>
      </w:pPr>
      <w:r>
        <w:rPr>
          <w:rFonts w:hint="eastAsia"/>
          <w:color w:val="000000"/>
          <w:lang w:val="en-US" w:eastAsia="zh-CN"/>
        </w:rPr>
        <w:t>海上光伏发电工程支架宜采取合适的防腐措施，</w:t>
      </w:r>
      <w:r>
        <w:rPr>
          <w:rFonts w:hint="eastAsia"/>
          <w:color w:val="000000"/>
        </w:rPr>
        <w:t>应抽查检测</w:t>
      </w:r>
      <w:r>
        <w:rPr>
          <w:rFonts w:hint="eastAsia"/>
          <w:color w:val="000000"/>
          <w:lang w:val="en-US" w:eastAsia="zh-CN"/>
        </w:rPr>
        <w:t>海水腐蚀与防腐、海生物附着与海浪冲击等情况，</w:t>
      </w:r>
      <w:r>
        <w:rPr>
          <w:rFonts w:hint="eastAsia"/>
          <w:color w:val="000000"/>
        </w:rPr>
        <w:t>检测结果应符合NB</w:t>
      </w:r>
      <w:r>
        <w:rPr>
          <w:rFonts w:hint="eastAsia"/>
          <w:color w:val="000000"/>
          <w:lang w:val="en-US" w:eastAsia="zh-CN"/>
        </w:rPr>
        <w:t>/</w:t>
      </w:r>
      <w:r>
        <w:rPr>
          <w:rFonts w:hint="eastAsia"/>
          <w:color w:val="000000"/>
        </w:rPr>
        <w:t>T 11353</w:t>
      </w:r>
      <w:r>
        <w:rPr>
          <w:rFonts w:hint="eastAsia"/>
          <w:color w:val="000000"/>
          <w:lang w:val="en-US" w:eastAsia="zh-CN"/>
        </w:rPr>
        <w:t>的规定</w:t>
      </w:r>
      <w:r>
        <w:rPr>
          <w:rFonts w:hint="eastAsia"/>
          <w:color w:val="000000"/>
        </w:rPr>
        <w:t>；</w:t>
      </w:r>
    </w:p>
    <w:p w14:paraId="1736DABF">
      <w:pPr>
        <w:pStyle w:val="65"/>
        <w:numPr>
          <w:ilvl w:val="0"/>
          <w:numId w:val="34"/>
        </w:numPr>
        <w:rPr>
          <w:rFonts w:hint="eastAsia"/>
          <w:color w:val="000000"/>
        </w:rPr>
      </w:pPr>
      <w:r>
        <w:rPr>
          <w:rFonts w:hint="eastAsia"/>
          <w:color w:val="000000"/>
        </w:rPr>
        <w:t>地面集中式光伏发电项目、分布式光伏发电项目基础施工后，应抽查检测桩基础承载力、完整性等情况，检测结果应符合DL/T 5493</w:t>
      </w:r>
      <w:r>
        <w:rPr>
          <w:rFonts w:hint="eastAsia"/>
          <w:color w:val="000000"/>
          <w:lang w:val="en-US" w:eastAsia="zh-CN"/>
        </w:rPr>
        <w:t>的规定</w:t>
      </w:r>
      <w:r>
        <w:rPr>
          <w:rFonts w:hint="eastAsia"/>
          <w:color w:val="000000"/>
        </w:rPr>
        <w:t>；</w:t>
      </w:r>
    </w:p>
    <w:p w14:paraId="06E0614D">
      <w:pPr>
        <w:pStyle w:val="65"/>
        <w:numPr>
          <w:ilvl w:val="0"/>
          <w:numId w:val="34"/>
        </w:numPr>
        <w:rPr>
          <w:rFonts w:hint="eastAsia"/>
          <w:color w:val="000000"/>
        </w:rPr>
      </w:pPr>
      <w:r>
        <w:rPr>
          <w:rFonts w:hint="eastAsia"/>
          <w:color w:val="000000"/>
        </w:rPr>
        <w:t>光伏组件安装后，应抽查检测发热现象、离地高度、倾斜角度、同一逆变器下组件倾角及朝向、光伏组件边缘高差等情况，检测结果应符合GB/T 50796</w:t>
      </w:r>
      <w:r>
        <w:rPr>
          <w:rFonts w:hint="eastAsia"/>
          <w:color w:val="000000"/>
          <w:lang w:val="en-US" w:eastAsia="zh-CN"/>
        </w:rPr>
        <w:t>的规定</w:t>
      </w:r>
      <w:r>
        <w:rPr>
          <w:rFonts w:hint="eastAsia"/>
          <w:color w:val="000000"/>
        </w:rPr>
        <w:t>；</w:t>
      </w:r>
    </w:p>
    <w:p w14:paraId="7281B8CF">
      <w:pPr>
        <w:pStyle w:val="65"/>
        <w:numPr>
          <w:ilvl w:val="0"/>
          <w:numId w:val="34"/>
        </w:numPr>
        <w:rPr>
          <w:rFonts w:hint="eastAsia"/>
          <w:color w:val="000000"/>
        </w:rPr>
      </w:pPr>
      <w:r>
        <w:rPr>
          <w:rFonts w:hint="eastAsia"/>
          <w:color w:val="000000"/>
        </w:rPr>
        <w:t>光伏支架安装后，应抽查检测垂直度、水平度、角度，焊接质量、防腐处理、接地连接等情况，检测结果应符合GB/T 50796</w:t>
      </w:r>
      <w:r>
        <w:rPr>
          <w:rFonts w:hint="eastAsia"/>
          <w:color w:val="000000"/>
          <w:lang w:val="en-US" w:eastAsia="zh-CN"/>
        </w:rPr>
        <w:t>的规定</w:t>
      </w:r>
      <w:r>
        <w:rPr>
          <w:rFonts w:hint="eastAsia"/>
          <w:color w:val="000000"/>
        </w:rPr>
        <w:t>；</w:t>
      </w:r>
    </w:p>
    <w:p w14:paraId="0F9FA3B2">
      <w:pPr>
        <w:pStyle w:val="65"/>
        <w:numPr>
          <w:ilvl w:val="0"/>
          <w:numId w:val="34"/>
        </w:numPr>
        <w:rPr>
          <w:rFonts w:hint="eastAsia"/>
          <w:color w:val="000000"/>
        </w:rPr>
      </w:pPr>
      <w:r>
        <w:rPr>
          <w:rFonts w:hint="eastAsia"/>
          <w:color w:val="000000"/>
        </w:rPr>
        <w:t>汇流箱安装后，应抽查检测极性、通信功能、防雷等情况，检测结果应符合GB/T 50796</w:t>
      </w:r>
      <w:r>
        <w:rPr>
          <w:rFonts w:hint="eastAsia"/>
          <w:color w:val="000000"/>
          <w:lang w:val="en-US" w:eastAsia="zh-CN"/>
        </w:rPr>
        <w:t>的规定</w:t>
      </w:r>
      <w:r>
        <w:rPr>
          <w:rFonts w:hint="eastAsia"/>
          <w:color w:val="000000"/>
        </w:rPr>
        <w:t>；</w:t>
      </w:r>
    </w:p>
    <w:p w14:paraId="370BC6D9">
      <w:pPr>
        <w:pStyle w:val="65"/>
        <w:numPr>
          <w:ilvl w:val="0"/>
          <w:numId w:val="34"/>
        </w:numPr>
        <w:rPr>
          <w:rFonts w:hint="eastAsia"/>
          <w:color w:val="000000"/>
        </w:rPr>
      </w:pPr>
      <w:r>
        <w:rPr>
          <w:rFonts w:hint="eastAsia"/>
          <w:color w:val="000000"/>
        </w:rPr>
        <w:t>逆变器安装后，应抽查检测相序和极性、测量显示和运行状态、交流出线等情况，检测结果应符合GB/T 50796</w:t>
      </w:r>
      <w:r>
        <w:rPr>
          <w:rFonts w:hint="eastAsia"/>
          <w:color w:val="000000"/>
          <w:lang w:val="en-US" w:eastAsia="zh-CN"/>
        </w:rPr>
        <w:t>的规定</w:t>
      </w:r>
      <w:r>
        <w:rPr>
          <w:rFonts w:hint="eastAsia"/>
          <w:color w:val="000000"/>
        </w:rPr>
        <w:t>；</w:t>
      </w:r>
    </w:p>
    <w:p w14:paraId="515F57C9">
      <w:pPr>
        <w:pStyle w:val="65"/>
        <w:numPr>
          <w:ilvl w:val="0"/>
          <w:numId w:val="34"/>
        </w:numPr>
        <w:rPr>
          <w:rFonts w:hint="eastAsia"/>
          <w:color w:val="000000"/>
        </w:rPr>
      </w:pPr>
      <w:r>
        <w:rPr>
          <w:rFonts w:hint="eastAsia"/>
          <w:color w:val="000000"/>
        </w:rPr>
        <w:t>进行并网调试监理工作，旁站低电压穿越试验、频率响应试验，核查试验数据</w:t>
      </w:r>
      <w:r>
        <w:rPr>
          <w:rFonts w:hint="eastAsia"/>
          <w:color w:val="000000"/>
          <w:lang w:val="en-US" w:eastAsia="zh-CN"/>
        </w:rPr>
        <w:t>应</w:t>
      </w:r>
      <w:r>
        <w:rPr>
          <w:rFonts w:hint="eastAsia"/>
          <w:color w:val="000000"/>
        </w:rPr>
        <w:t>符合电网接入标准；</w:t>
      </w:r>
    </w:p>
    <w:p w14:paraId="149F16C3">
      <w:pPr>
        <w:pStyle w:val="65"/>
        <w:numPr>
          <w:ilvl w:val="0"/>
          <w:numId w:val="34"/>
        </w:numPr>
        <w:rPr>
          <w:rFonts w:hint="eastAsia"/>
          <w:color w:val="000000"/>
        </w:rPr>
      </w:pPr>
      <w:r>
        <w:rPr>
          <w:rFonts w:hint="eastAsia"/>
          <w:color w:val="000000"/>
        </w:rPr>
        <w:t>监督逆变器并网测试、电能质量检测等联调过程，确保系统输出</w:t>
      </w:r>
      <w:r>
        <w:rPr>
          <w:rFonts w:hint="eastAsia"/>
          <w:color w:val="000000"/>
          <w:lang w:val="en-US" w:eastAsia="zh-CN"/>
        </w:rPr>
        <w:t>应</w:t>
      </w:r>
      <w:r>
        <w:rPr>
          <w:rFonts w:hint="eastAsia"/>
          <w:color w:val="000000"/>
        </w:rPr>
        <w:t>符合电网接入标准；</w:t>
      </w:r>
    </w:p>
    <w:p w14:paraId="73B008B5">
      <w:pPr>
        <w:pStyle w:val="65"/>
        <w:numPr>
          <w:ilvl w:val="0"/>
          <w:numId w:val="34"/>
        </w:numPr>
        <w:rPr>
          <w:rFonts w:hint="eastAsia"/>
          <w:color w:val="000000"/>
        </w:rPr>
      </w:pPr>
      <w:r>
        <w:rPr>
          <w:rFonts w:hint="eastAsia"/>
          <w:color w:val="000000"/>
        </w:rPr>
        <w:t>发现施工存在质量问题的，或施工不当造成工程质量不合格的，或施工质量管理体系运行不正常的，应签发监理通知单要求施工单位整改，督促整改闭环；</w:t>
      </w:r>
    </w:p>
    <w:p w14:paraId="1B5ADFE1">
      <w:pPr>
        <w:pStyle w:val="65"/>
        <w:numPr>
          <w:ilvl w:val="0"/>
          <w:numId w:val="34"/>
        </w:numPr>
        <w:rPr>
          <w:rFonts w:hint="eastAsia"/>
          <w:color w:val="000000"/>
        </w:rPr>
      </w:pPr>
      <w:r>
        <w:rPr>
          <w:rFonts w:hint="eastAsia"/>
          <w:color w:val="000000"/>
        </w:rPr>
        <w:t>开展质量隐患、质量缺陷和质量事故管理，发现施工过程中存在重大质量隐患，可能造成质量事故时，应要求施工单位暂停施工，报告建设单位后下达工程暂停令，要求施工单位限期整改；</w:t>
      </w:r>
    </w:p>
    <w:p w14:paraId="74D0D2AF">
      <w:pPr>
        <w:pStyle w:val="65"/>
        <w:numPr>
          <w:ilvl w:val="0"/>
          <w:numId w:val="34"/>
        </w:numPr>
        <w:rPr>
          <w:rFonts w:hint="eastAsia"/>
          <w:color w:val="000000"/>
        </w:rPr>
      </w:pPr>
      <w:r>
        <w:rPr>
          <w:rFonts w:hint="eastAsia"/>
          <w:color w:val="000000"/>
        </w:rPr>
        <w:t>协助建设单位制定调试管理程序，审查调试单位报送的调试相关方案及措施，参加调试条件的检查和确认，对调试过程进行巡视、见证或旁站，建立设备缺陷台账并跟踪消缺情况；</w:t>
      </w:r>
    </w:p>
    <w:p w14:paraId="7BE1B57C">
      <w:pPr>
        <w:pStyle w:val="65"/>
        <w:numPr>
          <w:ilvl w:val="0"/>
          <w:numId w:val="34"/>
        </w:numPr>
        <w:rPr>
          <w:rFonts w:hint="eastAsia"/>
          <w:color w:val="000000"/>
        </w:rPr>
      </w:pPr>
      <w:r>
        <w:rPr>
          <w:rFonts w:hint="eastAsia"/>
          <w:color w:val="000000"/>
        </w:rPr>
        <w:t>开展工程保修回访，检查和记录工程质量缺陷，组织缺陷原因分析并协商确定责任归属，对修复或返工的工程进行质量验收。</w:t>
      </w:r>
    </w:p>
    <w:p w14:paraId="6D2E7466">
      <w:pPr>
        <w:pStyle w:val="57"/>
        <w:rPr>
          <w:rFonts w:hint="eastAsia"/>
          <w:color w:val="000000"/>
        </w:rPr>
      </w:pPr>
      <w:r>
        <w:rPr>
          <w:rFonts w:hint="eastAsia"/>
          <w:color w:val="000000"/>
        </w:rPr>
        <w:t>工程进度控制工作主要内容包括：</w:t>
      </w:r>
    </w:p>
    <w:p w14:paraId="6EF7C831">
      <w:pPr>
        <w:pStyle w:val="65"/>
        <w:numPr>
          <w:ilvl w:val="0"/>
          <w:numId w:val="35"/>
        </w:numPr>
        <w:rPr>
          <w:rFonts w:hint="eastAsia"/>
          <w:color w:val="000000"/>
        </w:rPr>
      </w:pPr>
      <w:r>
        <w:rPr>
          <w:rFonts w:hint="eastAsia"/>
          <w:color w:val="000000"/>
        </w:rPr>
        <w:t>组织审查施工进度计划、调试进度计划，提出监理意见，通过审核后报建设单位；</w:t>
      </w:r>
    </w:p>
    <w:p w14:paraId="47B3299C">
      <w:pPr>
        <w:pStyle w:val="65"/>
        <w:numPr>
          <w:ilvl w:val="0"/>
          <w:numId w:val="35"/>
        </w:numPr>
        <w:rPr>
          <w:rFonts w:hint="eastAsia"/>
          <w:color w:val="000000"/>
        </w:rPr>
      </w:pPr>
      <w:r>
        <w:rPr>
          <w:rFonts w:hint="eastAsia"/>
          <w:color w:val="000000"/>
        </w:rPr>
        <w:t>对工程进度的实施情况进行跟踪检查和分析，当发现偏差时，应督促责任单位采取纠正措施；</w:t>
      </w:r>
    </w:p>
    <w:p w14:paraId="028FE1E9">
      <w:pPr>
        <w:pStyle w:val="65"/>
        <w:numPr>
          <w:ilvl w:val="0"/>
          <w:numId w:val="35"/>
        </w:numPr>
        <w:rPr>
          <w:rFonts w:hint="eastAsia"/>
          <w:color w:val="000000"/>
        </w:rPr>
      </w:pPr>
      <w:r>
        <w:rPr>
          <w:rFonts w:hint="eastAsia"/>
          <w:color w:val="000000"/>
        </w:rPr>
        <w:t>分析实际进度对工程总工期的影响，并应在监理月报中进行报告。</w:t>
      </w:r>
    </w:p>
    <w:p w14:paraId="42F58835">
      <w:pPr>
        <w:pStyle w:val="57"/>
        <w:rPr>
          <w:rFonts w:hint="eastAsia"/>
          <w:color w:val="000000"/>
        </w:rPr>
      </w:pPr>
      <w:r>
        <w:rPr>
          <w:rFonts w:hint="eastAsia"/>
          <w:color w:val="000000"/>
        </w:rPr>
        <w:t>工程造价控制工作主要内容包括：</w:t>
      </w:r>
    </w:p>
    <w:p w14:paraId="7A507687">
      <w:pPr>
        <w:pStyle w:val="65"/>
        <w:numPr>
          <w:ilvl w:val="0"/>
          <w:numId w:val="36"/>
        </w:numPr>
        <w:rPr>
          <w:rFonts w:hint="eastAsia"/>
          <w:color w:val="000000"/>
        </w:rPr>
      </w:pPr>
      <w:r>
        <w:rPr>
          <w:rFonts w:hint="eastAsia"/>
          <w:color w:val="000000"/>
        </w:rPr>
        <w:t>依据合同约定进行工程预付款、工程量计量、工程进度款的审核和签认，审核通过后报建设单位并根据审批结果签发工程款支付证书；</w:t>
      </w:r>
    </w:p>
    <w:p w14:paraId="34DCC24D">
      <w:pPr>
        <w:pStyle w:val="65"/>
        <w:numPr>
          <w:ilvl w:val="0"/>
          <w:numId w:val="36"/>
        </w:numPr>
        <w:rPr>
          <w:rFonts w:hint="eastAsia"/>
          <w:color w:val="000000"/>
        </w:rPr>
      </w:pPr>
      <w:r>
        <w:rPr>
          <w:rFonts w:hint="eastAsia"/>
          <w:color w:val="000000"/>
        </w:rPr>
        <w:t>定期收集和编制工程量统计表，对实际完成工程量与计划完成工程量进行比较分析，发现偏差的，应提出调整建议，并在监理月报中进行报告；</w:t>
      </w:r>
    </w:p>
    <w:p w14:paraId="61199EF7">
      <w:pPr>
        <w:pStyle w:val="65"/>
        <w:numPr>
          <w:ilvl w:val="0"/>
          <w:numId w:val="36"/>
        </w:numPr>
        <w:rPr>
          <w:rFonts w:hint="eastAsia"/>
          <w:color w:val="000000"/>
        </w:rPr>
      </w:pPr>
      <w:r>
        <w:rPr>
          <w:rFonts w:hint="eastAsia"/>
          <w:color w:val="000000"/>
        </w:rPr>
        <w:t>审核施工单位提交的竣工结算资料，审查通过并签认后报建设单位，根据建设单位审批意见签发竣工结算款支付证书；</w:t>
      </w:r>
    </w:p>
    <w:p w14:paraId="5060E6D1">
      <w:pPr>
        <w:pStyle w:val="65"/>
        <w:numPr>
          <w:ilvl w:val="0"/>
          <w:numId w:val="36"/>
        </w:numPr>
        <w:rPr>
          <w:rFonts w:hint="eastAsia"/>
          <w:color w:val="000000"/>
        </w:rPr>
      </w:pPr>
      <w:r>
        <w:rPr>
          <w:rFonts w:hint="eastAsia"/>
          <w:color w:val="000000"/>
        </w:rPr>
        <w:t>按合同约定审核施工单位提交的质量保证金支付申请，提出应支付金额及相应支持性文件，并报告建设单位；</w:t>
      </w:r>
    </w:p>
    <w:p w14:paraId="3074AB7E">
      <w:pPr>
        <w:pStyle w:val="65"/>
        <w:numPr>
          <w:ilvl w:val="0"/>
          <w:numId w:val="36"/>
        </w:numPr>
        <w:rPr>
          <w:rFonts w:hint="eastAsia"/>
          <w:color w:val="000000"/>
        </w:rPr>
      </w:pPr>
      <w:r>
        <w:rPr>
          <w:rFonts w:hint="eastAsia"/>
          <w:color w:val="000000"/>
        </w:rPr>
        <w:t>根据项目规模、选址等资料测算单位千瓦造价并对比行业基准值，审查是否出现超支情况，并报告建设单位。</w:t>
      </w:r>
    </w:p>
    <w:p w14:paraId="4D14464D">
      <w:pPr>
        <w:pStyle w:val="57"/>
        <w:rPr>
          <w:rFonts w:hint="eastAsia"/>
          <w:color w:val="000000"/>
        </w:rPr>
      </w:pPr>
      <w:r>
        <w:rPr>
          <w:rFonts w:hint="eastAsia"/>
          <w:color w:val="000000"/>
        </w:rPr>
        <w:t>安全生产管理的监理工作内容主要包括：</w:t>
      </w:r>
    </w:p>
    <w:p w14:paraId="3ADEB417">
      <w:pPr>
        <w:pStyle w:val="65"/>
        <w:numPr>
          <w:ilvl w:val="0"/>
          <w:numId w:val="37"/>
        </w:numPr>
        <w:rPr>
          <w:rFonts w:hint="eastAsia"/>
          <w:color w:val="000000"/>
        </w:rPr>
      </w:pPr>
      <w:r>
        <w:rPr>
          <w:rFonts w:hint="eastAsia"/>
          <w:color w:val="000000"/>
        </w:rPr>
        <w:t>履行安全法定职责，建立健全全员安全生产责任制；</w:t>
      </w:r>
    </w:p>
    <w:p w14:paraId="08AC97A3">
      <w:pPr>
        <w:pStyle w:val="65"/>
        <w:numPr>
          <w:ilvl w:val="0"/>
          <w:numId w:val="37"/>
        </w:numPr>
        <w:rPr>
          <w:rFonts w:hint="eastAsia"/>
          <w:color w:val="000000"/>
        </w:rPr>
      </w:pPr>
      <w:r>
        <w:rPr>
          <w:rFonts w:hint="eastAsia"/>
          <w:color w:val="000000"/>
        </w:rPr>
        <w:t>审查施工单位资质、人员、危险源清单、安全防护设施布置、专项施工方案、安全工器具、安全生产应急预案、资源配置和应急演练计划等安全生产管理相关文件，根据需要报建设单位批准并监督执行；</w:t>
      </w:r>
    </w:p>
    <w:p w14:paraId="391E67CD">
      <w:pPr>
        <w:pStyle w:val="65"/>
        <w:numPr>
          <w:ilvl w:val="0"/>
          <w:numId w:val="37"/>
        </w:numPr>
        <w:rPr>
          <w:rFonts w:hint="eastAsia"/>
          <w:color w:val="000000"/>
        </w:rPr>
      </w:pPr>
      <w:r>
        <w:rPr>
          <w:rFonts w:hint="eastAsia"/>
          <w:color w:val="000000"/>
        </w:rPr>
        <w:t>对超过一定规模的危险性较大的分部分项工程，应要求施工单位组织召开专家论证会，专家论证前专项施工方案应当通过施工单位审核和监理审查，论证后根据结果监督修改完善或重新组织论证；</w:t>
      </w:r>
    </w:p>
    <w:p w14:paraId="02A92CF9">
      <w:pPr>
        <w:pStyle w:val="65"/>
        <w:numPr>
          <w:ilvl w:val="0"/>
          <w:numId w:val="37"/>
        </w:numPr>
        <w:rPr>
          <w:rFonts w:hint="eastAsia"/>
          <w:color w:val="000000"/>
        </w:rPr>
      </w:pPr>
      <w:r>
        <w:rPr>
          <w:rFonts w:hint="default"/>
          <w:color w:val="000000"/>
          <w:lang w:val="en-US"/>
        </w:rPr>
        <w:t>海上光伏发电工程</w:t>
      </w:r>
      <w:r>
        <w:rPr>
          <w:rFonts w:hint="eastAsia"/>
          <w:color w:val="000000"/>
        </w:rPr>
        <w:t>中水上作业平台和水上运输船舶的施工方案应经专项论证，水上作业平台应设置防止人员和设备坠入水中的安全防护措施；</w:t>
      </w:r>
    </w:p>
    <w:p w14:paraId="21515432">
      <w:pPr>
        <w:pStyle w:val="65"/>
        <w:numPr>
          <w:ilvl w:val="0"/>
          <w:numId w:val="37"/>
        </w:numPr>
        <w:rPr>
          <w:rFonts w:hint="eastAsia"/>
          <w:color w:val="000000"/>
        </w:rPr>
      </w:pPr>
      <w:r>
        <w:rPr>
          <w:rFonts w:hint="eastAsia"/>
          <w:color w:val="000000"/>
        </w:rPr>
        <w:t>审查特殊场景光伏发电项目专项施工方案（组件安装、基础施工）的可行性与安全性，重点关注光伏组件安装方案的专项评审（抗风揭试验、排水设计）及特殊环境（山地、滩涂）施工措施；</w:t>
      </w:r>
    </w:p>
    <w:p w14:paraId="46C7F318">
      <w:pPr>
        <w:pStyle w:val="65"/>
        <w:numPr>
          <w:ilvl w:val="0"/>
          <w:numId w:val="37"/>
        </w:numPr>
        <w:rPr>
          <w:rFonts w:hint="eastAsia"/>
          <w:color w:val="000000"/>
        </w:rPr>
      </w:pPr>
      <w:r>
        <w:rPr>
          <w:rFonts w:hint="eastAsia"/>
          <w:color w:val="000000"/>
        </w:rPr>
        <w:t>检查施工单位现场安全生产管理工作，主要包括：施工现场安全生产管理体系运行情况，重要施工设施投入使用前的安全检查签证情况，现场消防要求落实情况，重大工序交接前的安全检查签证情况，专项施工方案的实施情况，人员持证上岗情况，安全设施、安全标志标识的设置情况，安全施工措施落实情况，安全工器具的配备和使用情况，主要施工机械设备的安全运行状态；</w:t>
      </w:r>
    </w:p>
    <w:p w14:paraId="68C2FF28">
      <w:pPr>
        <w:pStyle w:val="65"/>
        <w:numPr>
          <w:ilvl w:val="0"/>
          <w:numId w:val="37"/>
        </w:numPr>
        <w:rPr>
          <w:rFonts w:hint="eastAsia"/>
          <w:color w:val="000000"/>
        </w:rPr>
      </w:pPr>
      <w:r>
        <w:rPr>
          <w:rFonts w:hint="eastAsia"/>
          <w:color w:val="000000"/>
        </w:rPr>
        <w:t>对工程重要部位、关键工序、特殊作业和危险作业进行旁站监理，对复杂自然条件、复杂结构、技术难度大及危险性较大的分部分项工程专项施工方案的实施进行现场监理；</w:t>
      </w:r>
    </w:p>
    <w:p w14:paraId="0891B2D7">
      <w:pPr>
        <w:pStyle w:val="65"/>
        <w:numPr>
          <w:ilvl w:val="0"/>
          <w:numId w:val="37"/>
        </w:numPr>
        <w:rPr>
          <w:rFonts w:hint="eastAsia"/>
          <w:color w:val="000000"/>
        </w:rPr>
      </w:pPr>
      <w:r>
        <w:rPr>
          <w:rFonts w:hint="eastAsia"/>
          <w:color w:val="000000"/>
        </w:rPr>
        <w:t>发现存在安全生产事故隐患的，应签发监理通知单，要求施工单位整改；情节严重的，应签发工程暂停令，并报告建设单位。施工单位拒不整改或者不停止施工的，应向国家能源局派出机构和政府有关部门报告；</w:t>
      </w:r>
    </w:p>
    <w:p w14:paraId="7D7AB3A5">
      <w:pPr>
        <w:pStyle w:val="65"/>
        <w:numPr>
          <w:ilvl w:val="0"/>
          <w:numId w:val="37"/>
        </w:numPr>
        <w:rPr>
          <w:rFonts w:hint="eastAsia"/>
          <w:color w:val="000000"/>
        </w:rPr>
      </w:pPr>
      <w:r>
        <w:rPr>
          <w:rFonts w:hint="eastAsia"/>
          <w:color w:val="000000"/>
        </w:rPr>
        <w:t>建立安全生产管理监理台账；</w:t>
      </w:r>
    </w:p>
    <w:p w14:paraId="3A5E8E29">
      <w:pPr>
        <w:pStyle w:val="65"/>
        <w:numPr>
          <w:ilvl w:val="0"/>
          <w:numId w:val="37"/>
        </w:numPr>
        <w:rPr>
          <w:rFonts w:hint="eastAsia"/>
          <w:color w:val="000000"/>
        </w:rPr>
      </w:pPr>
      <w:r>
        <w:rPr>
          <w:rFonts w:hint="eastAsia"/>
          <w:color w:val="000000"/>
        </w:rPr>
        <w:t>监督施工现场安全生产费用使用情况；</w:t>
      </w:r>
    </w:p>
    <w:p w14:paraId="548BCBC9">
      <w:pPr>
        <w:pStyle w:val="65"/>
        <w:numPr>
          <w:ilvl w:val="0"/>
          <w:numId w:val="37"/>
        </w:numPr>
        <w:rPr>
          <w:rFonts w:hint="eastAsia"/>
          <w:color w:val="000000"/>
        </w:rPr>
      </w:pPr>
      <w:r>
        <w:rPr>
          <w:rFonts w:hint="eastAsia"/>
          <w:color w:val="000000"/>
        </w:rPr>
        <w:t>检查光伏发电工程安全设施是否与主体工程同时设计、同时施工、同时投入生产和使用。</w:t>
      </w:r>
    </w:p>
    <w:p w14:paraId="69AF753C">
      <w:pPr>
        <w:pStyle w:val="57"/>
        <w:rPr>
          <w:rFonts w:hint="eastAsia"/>
          <w:color w:val="000000"/>
        </w:rPr>
      </w:pPr>
      <w:r>
        <w:rPr>
          <w:rFonts w:hint="eastAsia"/>
          <w:color w:val="000000"/>
        </w:rPr>
        <w:t>合同管理工作内容主要包括：</w:t>
      </w:r>
    </w:p>
    <w:p w14:paraId="65EB8768">
      <w:pPr>
        <w:pStyle w:val="65"/>
        <w:numPr>
          <w:ilvl w:val="0"/>
          <w:numId w:val="38"/>
        </w:numPr>
        <w:rPr>
          <w:rFonts w:hint="eastAsia"/>
          <w:color w:val="000000"/>
        </w:rPr>
      </w:pPr>
      <w:r>
        <w:rPr>
          <w:rFonts w:hint="eastAsia"/>
          <w:color w:val="000000"/>
        </w:rPr>
        <w:t>出现需要暂停施工的情形时，征得建设单位同意后签发工程暂停令，确定停工范围，记录停工期间的工程情况；</w:t>
      </w:r>
    </w:p>
    <w:p w14:paraId="1AA3AE27">
      <w:pPr>
        <w:pStyle w:val="65"/>
        <w:numPr>
          <w:ilvl w:val="0"/>
          <w:numId w:val="38"/>
        </w:numPr>
        <w:rPr>
          <w:rFonts w:hint="eastAsia"/>
          <w:color w:val="000000"/>
        </w:rPr>
      </w:pPr>
      <w:r>
        <w:rPr>
          <w:rFonts w:hint="eastAsia"/>
          <w:color w:val="000000"/>
        </w:rPr>
        <w:t>当暂停施工原因消失、具备复工条件时，审查通过施工单位报送的复工材料并报建设单位批准后签发工程复工令，或者根据工程实际情况指令施工单位恢复施工；</w:t>
      </w:r>
    </w:p>
    <w:p w14:paraId="5E8B7570">
      <w:pPr>
        <w:pStyle w:val="65"/>
        <w:numPr>
          <w:ilvl w:val="0"/>
          <w:numId w:val="38"/>
        </w:numPr>
        <w:rPr>
          <w:rFonts w:hint="eastAsia"/>
          <w:color w:val="000000"/>
        </w:rPr>
      </w:pPr>
      <w:r>
        <w:rPr>
          <w:rFonts w:hint="eastAsia"/>
          <w:color w:val="000000"/>
        </w:rPr>
        <w:t>审查相关单位提出的工程变更，收集与工程变更有关的资料，审查通过后报建设单位并根据最终的工程变更文件监督施工单位实施工程变更；</w:t>
      </w:r>
    </w:p>
    <w:p w14:paraId="4C482A69">
      <w:pPr>
        <w:pStyle w:val="65"/>
        <w:numPr>
          <w:ilvl w:val="0"/>
          <w:numId w:val="38"/>
        </w:numPr>
        <w:rPr>
          <w:rFonts w:hint="eastAsia"/>
          <w:color w:val="000000"/>
        </w:rPr>
      </w:pPr>
      <w:r>
        <w:rPr>
          <w:rFonts w:hint="eastAsia"/>
          <w:color w:val="000000"/>
        </w:rPr>
        <w:t>审查施工单位提出的费用索赔，收集与索赔有关的资料，提出监理意见并协助建设单位与施工单位进行协商；</w:t>
      </w:r>
    </w:p>
    <w:p w14:paraId="2DA3A5A9">
      <w:pPr>
        <w:pStyle w:val="65"/>
        <w:numPr>
          <w:ilvl w:val="0"/>
          <w:numId w:val="38"/>
        </w:numPr>
        <w:rPr>
          <w:rFonts w:hint="eastAsia"/>
          <w:color w:val="000000"/>
        </w:rPr>
      </w:pPr>
      <w:r>
        <w:rPr>
          <w:rFonts w:hint="eastAsia"/>
          <w:color w:val="000000"/>
        </w:rPr>
        <w:t>审核施工单位提出的工程延期申请，提出监理意见并协助建设单位与施工单位进行协商，根据建设单位批准情况监督执行。发生工期延误时，应按施工合同约定进行处理；</w:t>
      </w:r>
    </w:p>
    <w:p w14:paraId="12FEF3E1">
      <w:pPr>
        <w:pStyle w:val="65"/>
        <w:numPr>
          <w:ilvl w:val="0"/>
          <w:numId w:val="38"/>
        </w:numPr>
        <w:rPr>
          <w:rFonts w:hint="eastAsia"/>
          <w:color w:val="000000"/>
        </w:rPr>
      </w:pPr>
      <w:r>
        <w:rPr>
          <w:rFonts w:hint="eastAsia"/>
          <w:color w:val="000000"/>
        </w:rPr>
        <w:t>与合同争议的双方磋商处理方案，未能达成一致时应在施工合同约定的期限内提出处理合同争议的监理意见，对未达到施工合同约定的暂停履行合同条件的应要求施工合同双方继续履行合同；</w:t>
      </w:r>
    </w:p>
    <w:p w14:paraId="73EDAE3D">
      <w:pPr>
        <w:pStyle w:val="65"/>
        <w:numPr>
          <w:ilvl w:val="0"/>
          <w:numId w:val="38"/>
        </w:numPr>
        <w:rPr>
          <w:rFonts w:hint="eastAsia"/>
          <w:color w:val="000000"/>
        </w:rPr>
      </w:pPr>
      <w:r>
        <w:rPr>
          <w:rFonts w:hint="eastAsia"/>
          <w:color w:val="000000"/>
        </w:rPr>
        <w:t>因建设单位原因导致施工合同解除时，应与建设单位和施工单位协商确定施工单位应得款项，并签发工程款支付证书；因施工单位原因导致施工合同解除时应确定施工单位应得款项或偿还建设单位的款项，与建设单位和施工单位协商后，书面提交证明。</w:t>
      </w:r>
    </w:p>
    <w:p w14:paraId="4160D114">
      <w:pPr>
        <w:pStyle w:val="57"/>
        <w:rPr>
          <w:rFonts w:hint="eastAsia"/>
          <w:color w:val="000000"/>
        </w:rPr>
      </w:pPr>
      <w:r>
        <w:rPr>
          <w:rFonts w:hint="eastAsia"/>
          <w:color w:val="000000"/>
        </w:rPr>
        <w:t>监理文件及信息管理工作内容主要包括：</w:t>
      </w:r>
    </w:p>
    <w:p w14:paraId="0D7B13F9">
      <w:pPr>
        <w:pStyle w:val="65"/>
        <w:numPr>
          <w:ilvl w:val="0"/>
          <w:numId w:val="39"/>
        </w:numPr>
        <w:rPr>
          <w:rFonts w:hint="eastAsia"/>
          <w:color w:val="000000"/>
        </w:rPr>
      </w:pPr>
      <w:r>
        <w:rPr>
          <w:rFonts w:hint="eastAsia"/>
          <w:color w:val="000000"/>
        </w:rPr>
        <w:t>建立信息文件目录，完善工程信息文件的传递流程，对信息进行分类、整理、建档；</w:t>
      </w:r>
    </w:p>
    <w:p w14:paraId="0749F06A">
      <w:pPr>
        <w:pStyle w:val="65"/>
        <w:numPr>
          <w:ilvl w:val="0"/>
          <w:numId w:val="39"/>
        </w:numPr>
        <w:rPr>
          <w:rFonts w:hint="eastAsia"/>
          <w:color w:val="000000"/>
        </w:rPr>
      </w:pPr>
      <w:r>
        <w:rPr>
          <w:rFonts w:hint="eastAsia"/>
          <w:color w:val="000000"/>
        </w:rPr>
        <w:t>检查施工单位报送的各类信息，施工单位未按要求报送或信息不符合要求的，应要求进行整改；</w:t>
      </w:r>
    </w:p>
    <w:p w14:paraId="1FD8C1DF">
      <w:pPr>
        <w:pStyle w:val="65"/>
        <w:numPr>
          <w:ilvl w:val="0"/>
          <w:numId w:val="39"/>
        </w:numPr>
        <w:rPr>
          <w:rFonts w:hint="eastAsia"/>
          <w:color w:val="000000"/>
        </w:rPr>
      </w:pPr>
      <w:r>
        <w:rPr>
          <w:rFonts w:hint="eastAsia"/>
          <w:color w:val="000000"/>
        </w:rPr>
        <w:t>对监理文件的形成、流转、收集、分类整理、组卷、归档、移交进行全过程管理；</w:t>
      </w:r>
    </w:p>
    <w:p w14:paraId="73C31C4F">
      <w:pPr>
        <w:pStyle w:val="65"/>
        <w:numPr>
          <w:ilvl w:val="0"/>
          <w:numId w:val="39"/>
        </w:numPr>
        <w:rPr>
          <w:rFonts w:hint="eastAsia"/>
          <w:color w:val="000000"/>
        </w:rPr>
      </w:pPr>
      <w:r>
        <w:rPr>
          <w:rFonts w:hint="eastAsia"/>
          <w:color w:val="000000"/>
        </w:rPr>
        <w:t>审核施工单位和设计单位编制的竣工文件及竣工图的完整性、准确性；</w:t>
      </w:r>
    </w:p>
    <w:p w14:paraId="3BF9B25D">
      <w:pPr>
        <w:pStyle w:val="65"/>
        <w:numPr>
          <w:ilvl w:val="0"/>
          <w:numId w:val="39"/>
        </w:numPr>
        <w:rPr>
          <w:rFonts w:hint="eastAsia"/>
          <w:color w:val="000000"/>
        </w:rPr>
      </w:pPr>
      <w:r>
        <w:rPr>
          <w:rFonts w:hint="eastAsia"/>
          <w:color w:val="000000"/>
        </w:rPr>
        <w:t>对归档的施工文件和设计文件进行审查，并提出监理意见。</w:t>
      </w:r>
    </w:p>
    <w:p w14:paraId="1C7218C2">
      <w:pPr>
        <w:pStyle w:val="57"/>
        <w:rPr>
          <w:rFonts w:hint="eastAsia"/>
          <w:color w:val="000000"/>
        </w:rPr>
      </w:pPr>
      <w:r>
        <w:rPr>
          <w:rFonts w:hint="eastAsia"/>
          <w:color w:val="000000"/>
        </w:rPr>
        <w:t>组织协调工作内容主要包括：</w:t>
      </w:r>
    </w:p>
    <w:p w14:paraId="162629A1">
      <w:pPr>
        <w:pStyle w:val="65"/>
        <w:numPr>
          <w:ilvl w:val="0"/>
          <w:numId w:val="40"/>
        </w:numPr>
        <w:rPr>
          <w:rFonts w:hint="eastAsia"/>
          <w:color w:val="000000"/>
        </w:rPr>
      </w:pPr>
      <w:r>
        <w:rPr>
          <w:rFonts w:hint="eastAsia"/>
          <w:color w:val="000000"/>
        </w:rPr>
        <w:t>建立工程协调制度，明确协调程序；</w:t>
      </w:r>
    </w:p>
    <w:p w14:paraId="585D6D60">
      <w:pPr>
        <w:pStyle w:val="65"/>
        <w:numPr>
          <w:ilvl w:val="0"/>
          <w:numId w:val="40"/>
        </w:numPr>
        <w:rPr>
          <w:rFonts w:hint="eastAsia"/>
          <w:color w:val="000000"/>
        </w:rPr>
      </w:pPr>
      <w:r>
        <w:rPr>
          <w:rFonts w:hint="eastAsia"/>
          <w:color w:val="000000"/>
        </w:rPr>
        <w:t>参加第一次工地会议，整理会议纪要并进行会签；</w:t>
      </w:r>
    </w:p>
    <w:p w14:paraId="1E7A8139">
      <w:pPr>
        <w:pStyle w:val="65"/>
        <w:numPr>
          <w:ilvl w:val="0"/>
          <w:numId w:val="40"/>
        </w:numPr>
        <w:rPr>
          <w:rFonts w:hint="eastAsia" w:ascii="仿宋_GB2312" w:hAnsi="仿宋_GB2312" w:eastAsia="仿宋_GB2312" w:cs="仿宋_GB2312"/>
          <w:color w:val="000000"/>
          <w:sz w:val="32"/>
          <w:szCs w:val="28"/>
        </w:rPr>
      </w:pPr>
      <w:r>
        <w:rPr>
          <w:rFonts w:hint="eastAsia"/>
          <w:color w:val="000000"/>
        </w:rPr>
        <w:t>定期组织召开监理例会，根据需要主持或参加专题会议。</w:t>
      </w:r>
    </w:p>
    <w:p w14:paraId="5394E2D5">
      <w:pPr>
        <w:pStyle w:val="49"/>
        <w:spacing w:before="240" w:after="240"/>
        <w:rPr>
          <w:rFonts w:hint="eastAsia"/>
          <w:color w:val="000000"/>
        </w:rPr>
      </w:pPr>
      <w:bookmarkStart w:id="268" w:name="_Toc10898"/>
      <w:r>
        <w:rPr>
          <w:rFonts w:hint="eastAsia"/>
          <w:color w:val="000000"/>
        </w:rPr>
        <w:t>设备监理</w:t>
      </w:r>
      <w:bookmarkEnd w:id="268"/>
    </w:p>
    <w:p w14:paraId="30F373D5">
      <w:pPr>
        <w:pStyle w:val="51"/>
        <w:spacing w:before="120" w:after="120"/>
        <w:rPr>
          <w:rFonts w:hint="eastAsia"/>
          <w:color w:val="000000"/>
        </w:rPr>
      </w:pPr>
      <w:bookmarkStart w:id="269" w:name="_Toc6485"/>
      <w:r>
        <w:rPr>
          <w:rFonts w:hint="eastAsia"/>
          <w:color w:val="000000"/>
        </w:rPr>
        <w:t>一般规定</w:t>
      </w:r>
      <w:bookmarkEnd w:id="269"/>
    </w:p>
    <w:p w14:paraId="156B4EA4">
      <w:pPr>
        <w:pStyle w:val="57"/>
        <w:rPr>
          <w:rFonts w:hint="eastAsia"/>
          <w:color w:val="000000"/>
        </w:rPr>
      </w:pPr>
      <w:r>
        <w:rPr>
          <w:rFonts w:hint="eastAsia"/>
          <w:color w:val="000000"/>
        </w:rPr>
        <w:t>设备监理依据合同对设备的原材料选用、制造和试验等环节实施监理，内容包括监理策划、质量管理、进度管理和信息管理等。</w:t>
      </w:r>
    </w:p>
    <w:p w14:paraId="7EF8044E">
      <w:pPr>
        <w:pStyle w:val="57"/>
        <w:rPr>
          <w:rFonts w:hint="eastAsia"/>
          <w:color w:val="000000"/>
        </w:rPr>
      </w:pPr>
      <w:r>
        <w:rPr>
          <w:rFonts w:hint="eastAsia"/>
          <w:color w:val="000000"/>
        </w:rPr>
        <w:t>设备监理以关键点见证、抽检及巡视相结合的方式开展。</w:t>
      </w:r>
    </w:p>
    <w:p w14:paraId="3B68B99D">
      <w:pPr>
        <w:pStyle w:val="57"/>
        <w:rPr>
          <w:rFonts w:hint="eastAsia"/>
          <w:color w:val="000000"/>
        </w:rPr>
      </w:pPr>
      <w:r>
        <w:rPr>
          <w:rFonts w:hint="eastAsia"/>
          <w:color w:val="000000"/>
        </w:rPr>
        <w:t>设备监理应与</w:t>
      </w:r>
      <w:r>
        <w:rPr>
          <w:rFonts w:hint="eastAsia"/>
          <w:color w:val="000000"/>
          <w:lang w:val="en-US" w:eastAsia="zh-CN"/>
        </w:rPr>
        <w:t>设备制造单位</w:t>
      </w:r>
      <w:r>
        <w:rPr>
          <w:rFonts w:hint="eastAsia"/>
          <w:color w:val="000000"/>
        </w:rPr>
        <w:t>建立有效的沟通和协调机制，并应与建设单位做好设备质量、生产进度及验收情况的对接联系。</w:t>
      </w:r>
    </w:p>
    <w:p w14:paraId="57733B20">
      <w:pPr>
        <w:pStyle w:val="51"/>
        <w:spacing w:before="120" w:after="120"/>
        <w:rPr>
          <w:rFonts w:hint="eastAsia"/>
          <w:color w:val="000000"/>
        </w:rPr>
      </w:pPr>
      <w:bookmarkStart w:id="270" w:name="_Toc22230"/>
      <w:r>
        <w:rPr>
          <w:rFonts w:hint="eastAsia"/>
          <w:color w:val="000000"/>
        </w:rPr>
        <w:t>设备监理主要工作</w:t>
      </w:r>
      <w:bookmarkEnd w:id="270"/>
    </w:p>
    <w:p w14:paraId="132E8CC3">
      <w:pPr>
        <w:pStyle w:val="57"/>
        <w:rPr>
          <w:rFonts w:hint="eastAsia"/>
          <w:color w:val="000000"/>
        </w:rPr>
      </w:pPr>
      <w:r>
        <w:rPr>
          <w:rFonts w:hint="eastAsia"/>
          <w:color w:val="000000"/>
        </w:rPr>
        <w:t>设备监理策划工作主要内容包括：</w:t>
      </w:r>
    </w:p>
    <w:p w14:paraId="18DC0B51">
      <w:pPr>
        <w:pStyle w:val="65"/>
        <w:numPr>
          <w:ilvl w:val="0"/>
          <w:numId w:val="41"/>
        </w:numPr>
        <w:rPr>
          <w:rFonts w:hint="eastAsia"/>
          <w:color w:val="000000"/>
        </w:rPr>
      </w:pPr>
      <w:r>
        <w:rPr>
          <w:rFonts w:hint="eastAsia"/>
          <w:color w:val="000000"/>
        </w:rPr>
        <w:t>确认设备的各项技术要求；</w:t>
      </w:r>
    </w:p>
    <w:p w14:paraId="5AC47BB0">
      <w:pPr>
        <w:pStyle w:val="65"/>
        <w:numPr>
          <w:ilvl w:val="0"/>
          <w:numId w:val="41"/>
        </w:numPr>
        <w:rPr>
          <w:rFonts w:hint="eastAsia"/>
          <w:color w:val="000000"/>
        </w:rPr>
      </w:pPr>
      <w:r>
        <w:rPr>
          <w:rFonts w:hint="eastAsia"/>
          <w:color w:val="000000"/>
        </w:rPr>
        <w:t>编制设备监理实施细则，明确监理目标、范围、方法和时间安排等。</w:t>
      </w:r>
    </w:p>
    <w:p w14:paraId="5D0071A1">
      <w:pPr>
        <w:pStyle w:val="57"/>
        <w:rPr>
          <w:rFonts w:hint="eastAsia"/>
          <w:color w:val="000000"/>
        </w:rPr>
      </w:pPr>
      <w:r>
        <w:rPr>
          <w:rFonts w:hint="eastAsia"/>
          <w:color w:val="000000"/>
        </w:rPr>
        <w:t>设备监理质量管理</w:t>
      </w:r>
      <w:r>
        <w:rPr>
          <w:rFonts w:hint="eastAsia"/>
          <w:color w:val="000000"/>
          <w:lang w:val="en-US" w:eastAsia="zh-CN"/>
        </w:rPr>
        <w:t>工作</w:t>
      </w:r>
      <w:r>
        <w:rPr>
          <w:rFonts w:hint="eastAsia"/>
          <w:color w:val="000000"/>
        </w:rPr>
        <w:t>主要内容包括：</w:t>
      </w:r>
    </w:p>
    <w:p w14:paraId="4E7A4376">
      <w:pPr>
        <w:pStyle w:val="65"/>
        <w:numPr>
          <w:ilvl w:val="0"/>
          <w:numId w:val="42"/>
        </w:numPr>
        <w:rPr>
          <w:rFonts w:hint="eastAsia"/>
          <w:color w:val="000000"/>
        </w:rPr>
      </w:pPr>
      <w:r>
        <w:rPr>
          <w:rFonts w:hint="eastAsia"/>
          <w:color w:val="000000"/>
        </w:rPr>
        <w:t xml:space="preserve">准备阶段:制定光伏相关设备、组件监造计划，明确监造目标和内容，组建监造团队； </w:t>
      </w:r>
    </w:p>
    <w:p w14:paraId="7B9933C2">
      <w:pPr>
        <w:pStyle w:val="65"/>
        <w:numPr>
          <w:ilvl w:val="0"/>
          <w:numId w:val="42"/>
        </w:numPr>
        <w:rPr>
          <w:rFonts w:hint="eastAsia"/>
          <w:color w:val="000000"/>
        </w:rPr>
      </w:pPr>
      <w:r>
        <w:rPr>
          <w:rFonts w:hint="eastAsia"/>
          <w:color w:val="000000"/>
        </w:rPr>
        <w:t xml:space="preserve">设计阶段:对光伏相关设备、组件设计图纸和技术文件进行审查，确保设计合理； </w:t>
      </w:r>
    </w:p>
    <w:p w14:paraId="7775C4CD">
      <w:pPr>
        <w:pStyle w:val="65"/>
        <w:numPr>
          <w:ilvl w:val="0"/>
          <w:numId w:val="42"/>
        </w:numPr>
        <w:rPr>
          <w:rFonts w:hint="eastAsia"/>
          <w:color w:val="000000"/>
        </w:rPr>
      </w:pPr>
      <w:r>
        <w:rPr>
          <w:rFonts w:hint="eastAsia"/>
          <w:color w:val="000000"/>
        </w:rPr>
        <w:t>制造阶段:对光伏相关设备、组件制造过程进行监督，包括原材料验收、加工工艺等；</w:t>
      </w:r>
    </w:p>
    <w:p w14:paraId="2A31B8D4">
      <w:pPr>
        <w:pStyle w:val="65"/>
        <w:numPr>
          <w:ilvl w:val="0"/>
          <w:numId w:val="42"/>
        </w:numPr>
        <w:rPr>
          <w:rFonts w:hint="eastAsia"/>
          <w:color w:val="000000"/>
        </w:rPr>
      </w:pPr>
      <w:r>
        <w:rPr>
          <w:rFonts w:hint="eastAsia"/>
          <w:color w:val="000000"/>
        </w:rPr>
        <w:t>组装阶段:对光伏相关设备、组件组装过程进行监督</w:t>
      </w:r>
      <w:commentRangeStart w:id="14"/>
      <w:commentRangeStart w:id="15"/>
      <w:r>
        <w:rPr>
          <w:rFonts w:hint="eastAsia"/>
          <w:color w:val="000000"/>
        </w:rPr>
        <w:t>，核查装配质量及配合尺寸</w:t>
      </w:r>
      <w:r>
        <w:rPr>
          <w:rFonts w:hint="eastAsia"/>
          <w:color w:val="000000"/>
          <w:lang w:eastAsia="zh-CN"/>
        </w:rPr>
        <w:t>，</w:t>
      </w:r>
      <w:r>
        <w:rPr>
          <w:rFonts w:hint="eastAsia"/>
          <w:color w:val="000000"/>
          <w:lang w:val="en-US" w:eastAsia="zh-CN"/>
        </w:rPr>
        <w:t>应</w:t>
      </w:r>
      <w:r>
        <w:rPr>
          <w:rFonts w:hint="eastAsia"/>
          <w:color w:val="000000"/>
        </w:rPr>
        <w:t>符合设计图纸及工艺文件的要求</w:t>
      </w:r>
      <w:commentRangeEnd w:id="14"/>
      <w:r>
        <w:commentReference w:id="14"/>
      </w:r>
      <w:commentRangeEnd w:id="15"/>
      <w:r>
        <w:commentReference w:id="15"/>
      </w:r>
      <w:r>
        <w:rPr>
          <w:rFonts w:hint="eastAsia"/>
          <w:color w:val="000000"/>
        </w:rPr>
        <w:t>；</w:t>
      </w:r>
    </w:p>
    <w:p w14:paraId="4BC0F1EF">
      <w:pPr>
        <w:pStyle w:val="65"/>
        <w:numPr>
          <w:ilvl w:val="0"/>
          <w:numId w:val="42"/>
        </w:numPr>
        <w:rPr>
          <w:rFonts w:hint="eastAsia"/>
          <w:color w:val="000000"/>
        </w:rPr>
      </w:pPr>
      <w:r>
        <w:rPr>
          <w:rFonts w:hint="eastAsia"/>
          <w:color w:val="000000"/>
        </w:rPr>
        <w:t>调试阶段:对光伏相关设备调试和试验过程进行监督，验证设备性能</w:t>
      </w:r>
      <w:r>
        <w:rPr>
          <w:rFonts w:hint="eastAsia"/>
          <w:color w:val="000000"/>
          <w:lang w:eastAsia="zh-CN"/>
        </w:rPr>
        <w:t>，</w:t>
      </w:r>
      <w:r>
        <w:rPr>
          <w:rFonts w:hint="eastAsia"/>
          <w:color w:val="000000"/>
          <w:lang w:val="en-US" w:eastAsia="zh-CN"/>
        </w:rPr>
        <w:t>应</w:t>
      </w:r>
      <w:r>
        <w:rPr>
          <w:rFonts w:hint="eastAsia"/>
          <w:color w:val="000000"/>
        </w:rPr>
        <w:t>达到设计要求；</w:t>
      </w:r>
    </w:p>
    <w:p w14:paraId="769BC13A">
      <w:pPr>
        <w:pStyle w:val="65"/>
        <w:numPr>
          <w:ilvl w:val="0"/>
          <w:numId w:val="42"/>
        </w:numPr>
        <w:rPr>
          <w:rFonts w:hint="eastAsia"/>
          <w:color w:val="000000"/>
        </w:rPr>
      </w:pPr>
      <w:r>
        <w:rPr>
          <w:rFonts w:hint="eastAsia"/>
          <w:color w:val="000000"/>
        </w:rPr>
        <w:t>验收阶段:对光伏相关设备进行最终验收</w:t>
      </w:r>
      <w:r>
        <w:rPr>
          <w:rFonts w:hint="eastAsia"/>
          <w:color w:val="000000"/>
          <w:lang w:eastAsia="zh-CN"/>
        </w:rPr>
        <w:t>，</w:t>
      </w:r>
      <w:r>
        <w:rPr>
          <w:rFonts w:hint="eastAsia"/>
          <w:color w:val="000000"/>
        </w:rPr>
        <w:t>确认设备质量和性能符合规定要求。</w:t>
      </w:r>
    </w:p>
    <w:p w14:paraId="5FB0AC17">
      <w:pPr>
        <w:pStyle w:val="67"/>
        <w:spacing w:before="120" w:after="120"/>
        <w:rPr>
          <w:rFonts w:hint="eastAsia" w:ascii="宋体" w:eastAsia="宋体"/>
          <w:color w:val="000000"/>
        </w:rPr>
      </w:pPr>
      <w:r>
        <w:rPr>
          <w:rFonts w:hint="eastAsia" w:ascii="宋体" w:eastAsia="宋体"/>
          <w:color w:val="000000"/>
        </w:rPr>
        <w:t>准备阶段</w:t>
      </w:r>
      <w:r>
        <w:rPr>
          <w:rFonts w:hint="eastAsia" w:ascii="宋体" w:hAnsi="Times New Roman" w:eastAsia="宋体" w:cs="Times New Roman"/>
          <w:color w:val="000000"/>
        </w:rPr>
        <w:t>设备监理质量管理</w:t>
      </w:r>
      <w:r>
        <w:rPr>
          <w:rFonts w:hint="eastAsia" w:ascii="宋体" w:eastAsia="宋体"/>
          <w:color w:val="000000"/>
          <w:lang w:val="en-US" w:eastAsia="zh-CN"/>
        </w:rPr>
        <w:t>工作</w:t>
      </w:r>
      <w:r>
        <w:rPr>
          <w:rFonts w:hint="eastAsia" w:ascii="宋体" w:hAnsi="Times New Roman" w:eastAsia="宋体" w:cs="Times New Roman"/>
          <w:color w:val="000000"/>
        </w:rPr>
        <w:t>主要内容包括：</w:t>
      </w:r>
    </w:p>
    <w:p w14:paraId="72054D5D">
      <w:pPr>
        <w:pStyle w:val="65"/>
        <w:numPr>
          <w:ilvl w:val="0"/>
          <w:numId w:val="43"/>
        </w:numPr>
        <w:rPr>
          <w:rFonts w:hint="eastAsia"/>
          <w:color w:val="000000"/>
        </w:rPr>
      </w:pPr>
      <w:r>
        <w:rPr>
          <w:rFonts w:hint="eastAsia"/>
          <w:color w:val="000000"/>
        </w:rPr>
        <w:t>设备监理应按照合同要求，对设备质量、造价、进度进行控制，对合同、信息进行管理，对监造相关方进行协调，并履行相关监造法定职责；</w:t>
      </w:r>
    </w:p>
    <w:p w14:paraId="2979C9F5">
      <w:pPr>
        <w:pStyle w:val="65"/>
        <w:numPr>
          <w:ilvl w:val="0"/>
          <w:numId w:val="43"/>
        </w:numPr>
        <w:rPr>
          <w:rFonts w:hint="eastAsia"/>
          <w:color w:val="000000"/>
        </w:rPr>
      </w:pPr>
      <w:r>
        <w:rPr>
          <w:rFonts w:hint="eastAsia"/>
          <w:color w:val="000000"/>
        </w:rPr>
        <w:t>设备监理应按照合同约定，合理配置监造监理人员，配备满足监造工作需要的检测设备和工器具；</w:t>
      </w:r>
    </w:p>
    <w:p w14:paraId="7EA815C6">
      <w:pPr>
        <w:pStyle w:val="65"/>
        <w:numPr>
          <w:ilvl w:val="0"/>
          <w:numId w:val="43"/>
        </w:numPr>
        <w:rPr>
          <w:rFonts w:hint="eastAsia"/>
          <w:color w:val="000000"/>
        </w:rPr>
      </w:pPr>
      <w:r>
        <w:rPr>
          <w:rFonts w:hint="eastAsia"/>
          <w:color w:val="000000"/>
        </w:rPr>
        <w:t>制定监造计划与大纲，根据光伏发电工程特色，制定监造工作的关键节点（W、H、R）、质量监造计划；</w:t>
      </w:r>
    </w:p>
    <w:p w14:paraId="3067E2A8">
      <w:pPr>
        <w:pStyle w:val="65"/>
        <w:numPr>
          <w:ilvl w:val="0"/>
          <w:numId w:val="43"/>
        </w:numPr>
        <w:rPr>
          <w:rFonts w:hint="eastAsia"/>
          <w:color w:val="000000"/>
        </w:rPr>
      </w:pPr>
      <w:r>
        <w:rPr>
          <w:rFonts w:hint="eastAsia"/>
          <w:color w:val="000000"/>
        </w:rPr>
        <w:t>收集并熟悉项目合同、技术协议、设计图纸、适用的标准规范以及制造商的质量保证大纲。</w:t>
      </w:r>
    </w:p>
    <w:p w14:paraId="07AFE240">
      <w:pPr>
        <w:pStyle w:val="67"/>
        <w:spacing w:before="120" w:after="120"/>
        <w:rPr>
          <w:rFonts w:hint="eastAsia" w:ascii="宋体" w:eastAsia="宋体"/>
          <w:color w:val="000000"/>
        </w:rPr>
      </w:pPr>
      <w:r>
        <w:rPr>
          <w:rFonts w:hint="eastAsia" w:ascii="宋体" w:eastAsia="宋体"/>
          <w:color w:val="000000"/>
        </w:rPr>
        <w:t>设计阶段</w:t>
      </w:r>
      <w:r>
        <w:rPr>
          <w:rFonts w:hint="eastAsia" w:ascii="宋体" w:hAnsi="Times New Roman" w:eastAsia="宋体" w:cs="Times New Roman"/>
          <w:color w:val="000000"/>
        </w:rPr>
        <w:t>设备监理质量管理</w:t>
      </w:r>
      <w:r>
        <w:rPr>
          <w:rFonts w:hint="eastAsia" w:ascii="宋体" w:eastAsia="宋体"/>
          <w:color w:val="000000"/>
          <w:lang w:val="en-US" w:eastAsia="zh-CN"/>
        </w:rPr>
        <w:t>工作主要内容包括：</w:t>
      </w:r>
    </w:p>
    <w:p w14:paraId="4595E369">
      <w:pPr>
        <w:pStyle w:val="65"/>
        <w:numPr>
          <w:ilvl w:val="0"/>
          <w:numId w:val="44"/>
        </w:numPr>
        <w:rPr>
          <w:rFonts w:hint="eastAsia"/>
          <w:color w:val="000000"/>
        </w:rPr>
      </w:pPr>
      <w:r>
        <w:rPr>
          <w:rFonts w:hint="eastAsia"/>
          <w:color w:val="000000"/>
        </w:rPr>
        <w:t>审查设备的结构设计、电气设计、材料选型，核实其与技术协议要求的符合性，分析制造工艺可行性、安装便利性及维护可操作性；</w:t>
      </w:r>
    </w:p>
    <w:p w14:paraId="2424045F">
      <w:pPr>
        <w:pStyle w:val="65"/>
        <w:numPr>
          <w:ilvl w:val="0"/>
          <w:numId w:val="44"/>
        </w:numPr>
        <w:rPr>
          <w:rFonts w:hint="eastAsia"/>
          <w:color w:val="000000"/>
        </w:rPr>
      </w:pPr>
      <w:r>
        <w:rPr>
          <w:rFonts w:hint="eastAsia"/>
          <w:color w:val="000000"/>
        </w:rPr>
        <w:t>审查技术文件，包括技术规格书、计算书、仿真报告、元器件清单及原材料清单等，核实其完整性、正确性及一致性；</w:t>
      </w:r>
    </w:p>
    <w:p w14:paraId="1B1AB05D">
      <w:pPr>
        <w:pStyle w:val="65"/>
        <w:numPr>
          <w:ilvl w:val="0"/>
          <w:numId w:val="44"/>
        </w:numPr>
        <w:rPr>
          <w:rFonts w:hint="eastAsia"/>
          <w:color w:val="000000"/>
        </w:rPr>
      </w:pPr>
      <w:r>
        <w:rPr>
          <w:rFonts w:hint="eastAsia"/>
          <w:color w:val="000000"/>
        </w:rPr>
        <w:t>参与设计评审，图纸会审等关键工作，并提出修改意见；</w:t>
      </w:r>
    </w:p>
    <w:p w14:paraId="13EFEF72">
      <w:pPr>
        <w:pStyle w:val="65"/>
        <w:numPr>
          <w:ilvl w:val="0"/>
          <w:numId w:val="44"/>
        </w:numPr>
        <w:rPr>
          <w:rFonts w:hint="eastAsia"/>
          <w:color w:val="000000"/>
        </w:rPr>
      </w:pPr>
      <w:r>
        <w:rPr>
          <w:rFonts w:hint="eastAsia"/>
          <w:color w:val="000000"/>
        </w:rPr>
        <w:t>监督检查各阶段设计过程中的设计评审、验证和确认,以及设计评审意见的落实情况；</w:t>
      </w:r>
    </w:p>
    <w:p w14:paraId="1BEC8EFE">
      <w:pPr>
        <w:pStyle w:val="65"/>
        <w:numPr>
          <w:ilvl w:val="0"/>
          <w:numId w:val="44"/>
        </w:numPr>
        <w:rPr>
          <w:rFonts w:hint="eastAsia"/>
          <w:color w:val="000000"/>
        </w:rPr>
      </w:pPr>
      <w:r>
        <w:rPr>
          <w:rFonts w:hint="eastAsia"/>
          <w:color w:val="000000"/>
        </w:rPr>
        <w:t>检查新工艺、新装备、新流程、新材料、新技术应用管理,并检查其必要的评审、验证、认证、鉴定等活动的结果,关注后续应用反馈及质量风险；</w:t>
      </w:r>
    </w:p>
    <w:p w14:paraId="0690311B">
      <w:pPr>
        <w:pStyle w:val="65"/>
        <w:numPr>
          <w:ilvl w:val="0"/>
          <w:numId w:val="44"/>
        </w:numPr>
        <w:rPr>
          <w:rFonts w:hint="eastAsia" w:ascii="仿宋_GB2312" w:hAnsi="仿宋_GB2312" w:eastAsia="仿宋_GB2312" w:cs="仿宋_GB2312"/>
          <w:color w:val="000000"/>
          <w:sz w:val="32"/>
          <w:szCs w:val="36"/>
        </w:rPr>
      </w:pPr>
      <w:r>
        <w:rPr>
          <w:rFonts w:hint="eastAsia"/>
          <w:color w:val="000000"/>
        </w:rPr>
        <w:t>组织或参加设计联络会，协调解决设计接口问题。</w:t>
      </w:r>
    </w:p>
    <w:p w14:paraId="432B9926">
      <w:pPr>
        <w:pStyle w:val="67"/>
        <w:spacing w:before="120" w:after="120"/>
        <w:rPr>
          <w:rFonts w:hint="eastAsia" w:ascii="宋体" w:eastAsia="宋体"/>
          <w:color w:val="000000"/>
        </w:rPr>
      </w:pPr>
      <w:r>
        <w:rPr>
          <w:rFonts w:hint="eastAsia" w:ascii="宋体" w:eastAsia="宋体"/>
          <w:color w:val="000000"/>
        </w:rPr>
        <w:t>制造阶段</w:t>
      </w:r>
      <w:r>
        <w:rPr>
          <w:rFonts w:hint="eastAsia" w:ascii="宋体" w:hAnsi="Times New Roman" w:eastAsia="宋体" w:cs="Times New Roman"/>
          <w:color w:val="000000"/>
        </w:rPr>
        <w:t>设备监理质量管理</w:t>
      </w:r>
      <w:r>
        <w:rPr>
          <w:rFonts w:hint="eastAsia" w:ascii="宋体" w:eastAsia="宋体"/>
          <w:color w:val="000000"/>
          <w:lang w:val="en-US" w:eastAsia="zh-CN"/>
        </w:rPr>
        <w:t>工作主要内容包括：</w:t>
      </w:r>
    </w:p>
    <w:p w14:paraId="10844ACB">
      <w:pPr>
        <w:pStyle w:val="65"/>
        <w:numPr>
          <w:ilvl w:val="0"/>
          <w:numId w:val="45"/>
        </w:numPr>
        <w:rPr>
          <w:rFonts w:hint="eastAsia"/>
          <w:color w:val="000000"/>
        </w:rPr>
      </w:pPr>
      <w:r>
        <w:rPr>
          <w:rFonts w:hint="eastAsia"/>
          <w:color w:val="000000"/>
        </w:rPr>
        <w:t>核对</w:t>
      </w:r>
      <w:r>
        <w:rPr>
          <w:rFonts w:hint="eastAsia"/>
          <w:color w:val="000000"/>
          <w:lang w:val="en-US" w:eastAsia="zh-CN"/>
        </w:rPr>
        <w:t>设备制造单位</w:t>
      </w:r>
      <w:r>
        <w:rPr>
          <w:rFonts w:hint="eastAsia"/>
          <w:color w:val="000000"/>
        </w:rPr>
        <w:t>原材料和外购件的材质证明、合格证、第三方检测报告，必要时进行抽检复验；</w:t>
      </w:r>
    </w:p>
    <w:p w14:paraId="7592DDC7">
      <w:pPr>
        <w:pStyle w:val="65"/>
        <w:numPr>
          <w:ilvl w:val="0"/>
          <w:numId w:val="45"/>
        </w:numPr>
        <w:rPr>
          <w:rFonts w:hint="eastAsia"/>
          <w:color w:val="000000"/>
        </w:rPr>
      </w:pPr>
      <w:r>
        <w:rPr>
          <w:rFonts w:hint="eastAsia"/>
          <w:color w:val="000000"/>
        </w:rPr>
        <w:t>对光伏发电工程关键的制造工序和特殊过程进行监督：</w:t>
      </w:r>
    </w:p>
    <w:p w14:paraId="24F2983D">
      <w:pPr>
        <w:pStyle w:val="65"/>
        <w:numPr>
          <w:ilvl w:val="0"/>
          <w:numId w:val="45"/>
        </w:numPr>
        <w:rPr>
          <w:rFonts w:hint="eastAsia"/>
          <w:color w:val="000000"/>
        </w:rPr>
      </w:pPr>
      <w:r>
        <w:rPr>
          <w:rFonts w:hint="eastAsia"/>
          <w:color w:val="000000"/>
        </w:rPr>
        <w:t>见证检查</w:t>
      </w:r>
      <w:r>
        <w:rPr>
          <w:rFonts w:hint="eastAsia"/>
          <w:color w:val="000000"/>
          <w:lang w:val="en-US" w:eastAsia="zh-CN"/>
        </w:rPr>
        <w:t>设备制造单位</w:t>
      </w:r>
      <w:r>
        <w:rPr>
          <w:rFonts w:hint="eastAsia"/>
          <w:color w:val="000000"/>
        </w:rPr>
        <w:t>内设备关键组部件的生产加工过程；</w:t>
      </w:r>
    </w:p>
    <w:p w14:paraId="63F1E2EE">
      <w:pPr>
        <w:pStyle w:val="65"/>
        <w:numPr>
          <w:ilvl w:val="0"/>
          <w:numId w:val="45"/>
        </w:numPr>
        <w:rPr>
          <w:rFonts w:hint="eastAsia"/>
          <w:color w:val="000000"/>
        </w:rPr>
      </w:pPr>
      <w:r>
        <w:rPr>
          <w:rFonts w:hint="eastAsia"/>
          <w:color w:val="000000"/>
        </w:rPr>
        <w:t>检查约定的产品制造过程中拟采用的新技术、新工艺、新流程、新装备、新材料等的鉴定资料和试验报告；</w:t>
      </w:r>
    </w:p>
    <w:p w14:paraId="0FB59DAD">
      <w:pPr>
        <w:pStyle w:val="65"/>
        <w:numPr>
          <w:ilvl w:val="0"/>
          <w:numId w:val="45"/>
        </w:numPr>
        <w:rPr>
          <w:rFonts w:hint="eastAsia"/>
          <w:color w:val="000000"/>
        </w:rPr>
      </w:pPr>
      <w:r>
        <w:rPr>
          <w:rFonts w:hint="eastAsia"/>
          <w:color w:val="000000"/>
        </w:rPr>
        <w:t>检查光伏组件质量问题整改，并留存记录；</w:t>
      </w:r>
    </w:p>
    <w:p w14:paraId="47A9D7AA">
      <w:pPr>
        <w:pStyle w:val="65"/>
        <w:numPr>
          <w:ilvl w:val="0"/>
          <w:numId w:val="45"/>
        </w:numPr>
        <w:rPr>
          <w:rFonts w:hint="eastAsia"/>
          <w:color w:val="000000"/>
        </w:rPr>
      </w:pPr>
      <w:r>
        <w:rPr>
          <w:rFonts w:hint="eastAsia"/>
          <w:color w:val="000000"/>
        </w:rPr>
        <w:t>检查设备制造过程的改进工作；</w:t>
      </w:r>
    </w:p>
    <w:p w14:paraId="56A39E55">
      <w:pPr>
        <w:pStyle w:val="65"/>
        <w:numPr>
          <w:ilvl w:val="0"/>
          <w:numId w:val="45"/>
        </w:numPr>
        <w:rPr>
          <w:rFonts w:hint="eastAsia"/>
          <w:color w:val="000000"/>
        </w:rPr>
      </w:pPr>
      <w:r>
        <w:rPr>
          <w:rFonts w:hint="eastAsia"/>
          <w:color w:val="000000"/>
        </w:rPr>
        <w:t>核对光伏组件、逆变器等关键设备的转换效率、逆变器容量技术参数</w:t>
      </w:r>
      <w:r>
        <w:rPr>
          <w:rFonts w:hint="eastAsia"/>
          <w:color w:val="000000"/>
          <w:lang w:eastAsia="zh-CN"/>
        </w:rPr>
        <w:t>，</w:t>
      </w:r>
      <w:r>
        <w:rPr>
          <w:rFonts w:hint="eastAsia"/>
          <w:color w:val="000000"/>
          <w:lang w:val="en-US" w:eastAsia="zh-CN"/>
        </w:rPr>
        <w:t>应</w:t>
      </w:r>
      <w:r>
        <w:rPr>
          <w:rFonts w:hint="eastAsia"/>
          <w:color w:val="000000"/>
        </w:rPr>
        <w:t>与设计文件一致；</w:t>
      </w:r>
    </w:p>
    <w:p w14:paraId="2ED6DB7B">
      <w:pPr>
        <w:pStyle w:val="65"/>
        <w:numPr>
          <w:ilvl w:val="0"/>
          <w:numId w:val="45"/>
        </w:numPr>
        <w:rPr>
          <w:rFonts w:hint="eastAsia"/>
          <w:color w:val="000000"/>
        </w:rPr>
      </w:pPr>
      <w:r>
        <w:rPr>
          <w:rFonts w:hint="eastAsia"/>
          <w:color w:val="000000"/>
        </w:rPr>
        <w:t>检查支架钢材、电缆等材料的规格、防腐处理</w:t>
      </w:r>
      <w:r>
        <w:rPr>
          <w:rFonts w:hint="eastAsia"/>
          <w:color w:val="000000"/>
          <w:lang w:val="en-US" w:eastAsia="zh-CN"/>
        </w:rPr>
        <w:t>等质量情况，</w:t>
      </w:r>
      <w:r>
        <w:rPr>
          <w:rFonts w:hint="eastAsia"/>
          <w:color w:val="000000"/>
        </w:rPr>
        <w:t>判定其符合设计要求的程度，杜绝使用不合格材料；</w:t>
      </w:r>
    </w:p>
    <w:p w14:paraId="70C922BE">
      <w:pPr>
        <w:pStyle w:val="65"/>
        <w:numPr>
          <w:ilvl w:val="0"/>
          <w:numId w:val="45"/>
        </w:numPr>
        <w:rPr>
          <w:rFonts w:hint="eastAsia"/>
          <w:color w:val="000000"/>
        </w:rPr>
      </w:pPr>
      <w:r>
        <w:rPr>
          <w:rFonts w:hint="eastAsia"/>
          <w:color w:val="000000"/>
          <w:lang w:val="en-US" w:eastAsia="zh-CN"/>
        </w:rPr>
        <w:t>核查</w:t>
      </w:r>
      <w:r>
        <w:rPr>
          <w:rFonts w:hint="eastAsia"/>
          <w:color w:val="000000"/>
        </w:rPr>
        <w:t>海上光伏发电工程核查浮体、浮台、锚固系统等技术参数，判定其与设计文件的一致性；</w:t>
      </w:r>
    </w:p>
    <w:p w14:paraId="77D60B96">
      <w:pPr>
        <w:pStyle w:val="65"/>
        <w:numPr>
          <w:ilvl w:val="0"/>
          <w:numId w:val="45"/>
        </w:numPr>
        <w:rPr>
          <w:rFonts w:hint="eastAsia"/>
          <w:color w:val="000000"/>
        </w:rPr>
      </w:pPr>
      <w:r>
        <w:rPr>
          <w:rFonts w:hint="eastAsia"/>
          <w:color w:val="000000"/>
        </w:rPr>
        <w:t>核查约定的产品制造过程中拟采用的新技术、新工艺、新流程、新装备、新材料等的鉴定资料和试验报告；</w:t>
      </w:r>
    </w:p>
    <w:p w14:paraId="3717029A">
      <w:pPr>
        <w:pStyle w:val="65"/>
        <w:numPr>
          <w:ilvl w:val="0"/>
          <w:numId w:val="45"/>
        </w:numPr>
        <w:rPr>
          <w:rFonts w:hint="eastAsia" w:ascii="仿宋_GB2312" w:hAnsi="仿宋_GB2312" w:eastAsia="仿宋_GB2312" w:cs="仿宋_GB2312"/>
          <w:color w:val="000000"/>
          <w:sz w:val="32"/>
          <w:szCs w:val="36"/>
        </w:rPr>
      </w:pPr>
      <w:r>
        <w:rPr>
          <w:rFonts w:hint="eastAsia"/>
          <w:color w:val="000000"/>
        </w:rPr>
        <w:t>监督</w:t>
      </w:r>
      <w:r>
        <w:rPr>
          <w:rFonts w:hint="eastAsia"/>
          <w:color w:val="000000"/>
          <w:lang w:val="en-US" w:eastAsia="zh-CN"/>
        </w:rPr>
        <w:t>设备制造单位</w:t>
      </w:r>
      <w:r>
        <w:rPr>
          <w:rFonts w:hint="eastAsia"/>
          <w:color w:val="000000"/>
        </w:rPr>
        <w:t>对不合格品的标识、记录、评审和处置过程。</w:t>
      </w:r>
    </w:p>
    <w:p w14:paraId="1444A76E">
      <w:pPr>
        <w:pStyle w:val="67"/>
        <w:spacing w:before="120" w:after="120"/>
        <w:rPr>
          <w:rFonts w:hint="eastAsia" w:ascii="宋体" w:eastAsia="宋体"/>
          <w:color w:val="000000"/>
        </w:rPr>
      </w:pPr>
      <w:r>
        <w:rPr>
          <w:rFonts w:hint="eastAsia" w:ascii="宋体" w:eastAsia="宋体"/>
          <w:color w:val="000000"/>
        </w:rPr>
        <w:t>组装阶段</w:t>
      </w:r>
      <w:r>
        <w:rPr>
          <w:rFonts w:hint="eastAsia" w:ascii="宋体" w:hAnsi="Times New Roman" w:eastAsia="宋体" w:cs="Times New Roman"/>
          <w:color w:val="000000"/>
        </w:rPr>
        <w:t>设备监理质量管理</w:t>
      </w:r>
      <w:r>
        <w:rPr>
          <w:rFonts w:hint="eastAsia" w:ascii="宋体" w:eastAsia="宋体"/>
          <w:color w:val="000000"/>
          <w:lang w:val="en-US" w:eastAsia="zh-CN"/>
        </w:rPr>
        <w:t>工作主要内容包括：</w:t>
      </w:r>
    </w:p>
    <w:p w14:paraId="38475E14">
      <w:pPr>
        <w:pStyle w:val="65"/>
        <w:numPr>
          <w:ilvl w:val="0"/>
          <w:numId w:val="46"/>
        </w:numPr>
        <w:rPr>
          <w:rFonts w:hint="eastAsia"/>
          <w:color w:val="000000"/>
        </w:rPr>
      </w:pPr>
      <w:r>
        <w:rPr>
          <w:rFonts w:hint="eastAsia"/>
          <w:color w:val="000000"/>
        </w:rPr>
        <w:t>检查组件装框角度、密封胶填充、接线盒安装与灌封</w:t>
      </w:r>
      <w:r>
        <w:rPr>
          <w:rFonts w:hint="eastAsia"/>
          <w:color w:val="000000"/>
          <w:lang w:val="en-US" w:eastAsia="zh-CN"/>
        </w:rPr>
        <w:t>等情况</w:t>
      </w:r>
      <w:r>
        <w:rPr>
          <w:rFonts w:hint="eastAsia"/>
          <w:color w:val="000000"/>
          <w:lang w:eastAsia="zh-CN"/>
        </w:rPr>
        <w:t>，</w:t>
      </w:r>
      <w:r>
        <w:rPr>
          <w:rFonts w:hint="eastAsia"/>
          <w:color w:val="000000"/>
          <w:lang w:val="en-US" w:eastAsia="zh-CN"/>
        </w:rPr>
        <w:t>应</w:t>
      </w:r>
      <w:r>
        <w:rPr>
          <w:rFonts w:hint="eastAsia"/>
          <w:color w:val="000000"/>
        </w:rPr>
        <w:t>符合工艺文件要求；</w:t>
      </w:r>
    </w:p>
    <w:p w14:paraId="4DBBA9A0">
      <w:pPr>
        <w:pStyle w:val="65"/>
        <w:numPr>
          <w:ilvl w:val="0"/>
          <w:numId w:val="46"/>
        </w:numPr>
        <w:rPr>
          <w:rFonts w:hint="eastAsia"/>
          <w:color w:val="000000"/>
        </w:rPr>
      </w:pPr>
      <w:r>
        <w:rPr>
          <w:rFonts w:hint="eastAsia"/>
          <w:color w:val="000000"/>
        </w:rPr>
        <w:t>检查逆变器内部线缆的布线与捆扎、功率模块的安装与紧固流程</w:t>
      </w:r>
      <w:r>
        <w:rPr>
          <w:rFonts w:hint="eastAsia"/>
          <w:color w:val="000000"/>
          <w:lang w:eastAsia="zh-CN"/>
        </w:rPr>
        <w:t>，</w:t>
      </w:r>
      <w:r>
        <w:rPr>
          <w:rFonts w:hint="eastAsia"/>
          <w:color w:val="000000"/>
          <w:lang w:val="en-US" w:eastAsia="zh-CN"/>
        </w:rPr>
        <w:t>应</w:t>
      </w:r>
      <w:r>
        <w:rPr>
          <w:rFonts w:hint="eastAsia"/>
          <w:color w:val="000000"/>
        </w:rPr>
        <w:t>符合工艺文件要求；</w:t>
      </w:r>
    </w:p>
    <w:p w14:paraId="07609631">
      <w:pPr>
        <w:pStyle w:val="65"/>
        <w:numPr>
          <w:ilvl w:val="0"/>
          <w:numId w:val="46"/>
        </w:numPr>
        <w:rPr>
          <w:rFonts w:hint="eastAsia"/>
          <w:color w:val="000000"/>
        </w:rPr>
      </w:pPr>
      <w:r>
        <w:rPr>
          <w:rFonts w:hint="eastAsia"/>
          <w:color w:val="000000"/>
        </w:rPr>
        <w:t>检查组装后的设备尺寸、间隙、对齐度、表面质量等</w:t>
      </w:r>
      <w:r>
        <w:rPr>
          <w:rFonts w:hint="eastAsia"/>
          <w:color w:val="000000"/>
          <w:lang w:eastAsia="zh-CN"/>
        </w:rPr>
        <w:t>，</w:t>
      </w:r>
      <w:r>
        <w:rPr>
          <w:rFonts w:hint="eastAsia"/>
          <w:color w:val="000000"/>
          <w:lang w:val="en-US" w:eastAsia="zh-CN"/>
        </w:rPr>
        <w:t>应</w:t>
      </w:r>
      <w:r>
        <w:rPr>
          <w:rFonts w:hint="eastAsia"/>
          <w:color w:val="000000"/>
        </w:rPr>
        <w:t>符合工艺文件要求；</w:t>
      </w:r>
    </w:p>
    <w:p w14:paraId="15D1FC5D">
      <w:pPr>
        <w:pStyle w:val="65"/>
        <w:numPr>
          <w:ilvl w:val="0"/>
          <w:numId w:val="46"/>
        </w:numPr>
        <w:rPr>
          <w:rFonts w:hint="eastAsia"/>
          <w:color w:val="000000"/>
        </w:rPr>
      </w:pPr>
      <w:r>
        <w:rPr>
          <w:rFonts w:hint="eastAsia"/>
          <w:color w:val="000000"/>
        </w:rPr>
        <w:t>核对产品铭牌、标签内容</w:t>
      </w:r>
      <w:r>
        <w:rPr>
          <w:rFonts w:hint="eastAsia"/>
          <w:color w:val="000000"/>
          <w:lang w:eastAsia="zh-CN"/>
        </w:rPr>
        <w:t>，</w:t>
      </w:r>
      <w:r>
        <w:rPr>
          <w:rFonts w:hint="eastAsia"/>
          <w:color w:val="000000"/>
          <w:lang w:val="en-US" w:eastAsia="zh-CN"/>
        </w:rPr>
        <w:t>应</w:t>
      </w:r>
      <w:r>
        <w:rPr>
          <w:rFonts w:hint="eastAsia"/>
          <w:color w:val="000000"/>
        </w:rPr>
        <w:t>正确、清晰、牢固；</w:t>
      </w:r>
    </w:p>
    <w:p w14:paraId="04E63870">
      <w:pPr>
        <w:pStyle w:val="65"/>
        <w:numPr>
          <w:ilvl w:val="0"/>
          <w:numId w:val="46"/>
        </w:numPr>
        <w:rPr>
          <w:rFonts w:hint="eastAsia"/>
          <w:color w:val="000000"/>
        </w:rPr>
      </w:pPr>
      <w:r>
        <w:rPr>
          <w:rFonts w:hint="eastAsia"/>
          <w:color w:val="000000"/>
        </w:rPr>
        <w:t>审查设备组装技术方案和组装措施；</w:t>
      </w:r>
    </w:p>
    <w:p w14:paraId="58D465C8">
      <w:pPr>
        <w:pStyle w:val="65"/>
        <w:numPr>
          <w:ilvl w:val="0"/>
          <w:numId w:val="46"/>
        </w:numPr>
        <w:rPr>
          <w:rFonts w:hint="eastAsia"/>
          <w:color w:val="000000"/>
        </w:rPr>
      </w:pPr>
      <w:r>
        <w:rPr>
          <w:rFonts w:hint="eastAsia"/>
          <w:color w:val="000000"/>
        </w:rPr>
        <w:t>监督组装的实施过程,重点检查</w:t>
      </w:r>
      <w:r>
        <w:rPr>
          <w:rFonts w:hint="eastAsia"/>
          <w:color w:val="000000"/>
          <w:lang w:val="en-US" w:eastAsia="zh-CN"/>
        </w:rPr>
        <w:t>设备制造单位</w:t>
      </w:r>
      <w:r>
        <w:rPr>
          <w:rFonts w:hint="eastAsia"/>
          <w:color w:val="000000"/>
        </w:rPr>
        <w:t>按设计文件图纸、相关标准及规范安装过程,比对与图纸和技术规格书的一致性；</w:t>
      </w:r>
    </w:p>
    <w:p w14:paraId="6C6CC8D1">
      <w:pPr>
        <w:pStyle w:val="65"/>
        <w:numPr>
          <w:ilvl w:val="0"/>
          <w:numId w:val="46"/>
        </w:numPr>
        <w:rPr>
          <w:rFonts w:hint="eastAsia"/>
          <w:color w:val="000000"/>
        </w:rPr>
      </w:pPr>
      <w:r>
        <w:rPr>
          <w:rFonts w:hint="eastAsia"/>
          <w:color w:val="000000"/>
        </w:rPr>
        <w:t>审查光伏发电工程设备安装用机具</w:t>
      </w:r>
      <w:r>
        <w:rPr>
          <w:rFonts w:hint="eastAsia"/>
          <w:color w:val="000000"/>
          <w:lang w:eastAsia="zh-CN"/>
        </w:rPr>
        <w:t>，</w:t>
      </w:r>
      <w:r>
        <w:rPr>
          <w:rFonts w:hint="eastAsia"/>
          <w:color w:val="000000"/>
          <w:lang w:val="en-US" w:eastAsia="zh-CN"/>
        </w:rPr>
        <w:t>应</w:t>
      </w:r>
      <w:r>
        <w:rPr>
          <w:rFonts w:hint="eastAsia"/>
          <w:color w:val="000000"/>
        </w:rPr>
        <w:t>满足使用要求和使用安全规程；</w:t>
      </w:r>
    </w:p>
    <w:p w14:paraId="4040F83C">
      <w:pPr>
        <w:pStyle w:val="65"/>
        <w:numPr>
          <w:ilvl w:val="0"/>
          <w:numId w:val="46"/>
        </w:numPr>
        <w:rPr>
          <w:rFonts w:hint="eastAsia"/>
          <w:color w:val="000000"/>
        </w:rPr>
      </w:pPr>
      <w:r>
        <w:rPr>
          <w:rFonts w:hint="eastAsia"/>
          <w:color w:val="000000"/>
        </w:rPr>
        <w:t>检查检测仪器和测量设备的能力范围及校准状态</w:t>
      </w:r>
      <w:r>
        <w:rPr>
          <w:rFonts w:hint="eastAsia"/>
          <w:color w:val="000000"/>
          <w:lang w:eastAsia="zh-CN"/>
        </w:rPr>
        <w:t>，</w:t>
      </w:r>
      <w:r>
        <w:rPr>
          <w:rFonts w:hint="eastAsia"/>
          <w:color w:val="000000"/>
          <w:lang w:val="en-US" w:eastAsia="zh-CN"/>
        </w:rPr>
        <w:t>应</w:t>
      </w:r>
      <w:r>
        <w:rPr>
          <w:rFonts w:hint="eastAsia"/>
          <w:color w:val="000000"/>
        </w:rPr>
        <w:t>满足规定要求；</w:t>
      </w:r>
    </w:p>
    <w:p w14:paraId="30435E8D">
      <w:pPr>
        <w:pStyle w:val="65"/>
        <w:numPr>
          <w:ilvl w:val="0"/>
          <w:numId w:val="46"/>
        </w:numPr>
        <w:rPr>
          <w:rFonts w:hint="eastAsia"/>
          <w:color w:val="000000"/>
        </w:rPr>
      </w:pPr>
      <w:r>
        <w:rPr>
          <w:rFonts w:hint="eastAsia"/>
          <w:color w:val="000000"/>
        </w:rPr>
        <w:t>审查</w:t>
      </w:r>
      <w:r>
        <w:rPr>
          <w:rFonts w:hint="eastAsia"/>
          <w:color w:val="000000"/>
          <w:lang w:val="en-US" w:eastAsia="zh-CN"/>
        </w:rPr>
        <w:t>设备设备制造单位</w:t>
      </w:r>
      <w:r>
        <w:rPr>
          <w:rFonts w:hint="eastAsia"/>
          <w:color w:val="000000"/>
        </w:rPr>
        <w:t xml:space="preserve">的设备安装技术方案和组装措施及质量保证计划,审查其技术可行性、安全可靠性、经济合理性；  </w:t>
      </w:r>
    </w:p>
    <w:p w14:paraId="5002996C">
      <w:pPr>
        <w:pStyle w:val="65"/>
        <w:numPr>
          <w:ilvl w:val="0"/>
          <w:numId w:val="46"/>
        </w:numPr>
        <w:rPr>
          <w:rFonts w:hint="eastAsia" w:ascii="仿宋_GB2312" w:hAnsi="仿宋_GB2312" w:eastAsia="仿宋_GB2312" w:cs="仿宋_GB2312"/>
          <w:color w:val="000000"/>
          <w:sz w:val="32"/>
          <w:szCs w:val="36"/>
        </w:rPr>
      </w:pPr>
      <w:r>
        <w:rPr>
          <w:rFonts w:hint="eastAsia"/>
          <w:color w:val="000000"/>
        </w:rPr>
        <w:t>检查重要过程、关键零部件、单机设备和成套设备的安装质量</w:t>
      </w:r>
      <w:r>
        <w:rPr>
          <w:rFonts w:hint="eastAsia"/>
          <w:color w:val="000000"/>
          <w:lang w:eastAsia="zh-CN"/>
        </w:rPr>
        <w:t>，</w:t>
      </w:r>
      <w:r>
        <w:rPr>
          <w:rFonts w:hint="eastAsia"/>
          <w:color w:val="000000"/>
        </w:rPr>
        <w:t>见证重要部位、重要工序、重要节点和隐蔽工程。</w:t>
      </w:r>
    </w:p>
    <w:p w14:paraId="0DC7DD70">
      <w:pPr>
        <w:pStyle w:val="67"/>
        <w:spacing w:before="120" w:after="120"/>
        <w:rPr>
          <w:rFonts w:hint="eastAsia" w:ascii="宋体" w:eastAsia="宋体"/>
          <w:color w:val="000000"/>
        </w:rPr>
      </w:pPr>
      <w:r>
        <w:rPr>
          <w:rFonts w:hint="eastAsia" w:ascii="宋体" w:eastAsia="宋体"/>
          <w:color w:val="000000"/>
        </w:rPr>
        <w:t>调试阶段</w:t>
      </w:r>
      <w:r>
        <w:rPr>
          <w:rFonts w:hint="eastAsia" w:ascii="宋体" w:hAnsi="Times New Roman" w:eastAsia="宋体" w:cs="Times New Roman"/>
          <w:color w:val="000000"/>
        </w:rPr>
        <w:t>设备监理质量管理</w:t>
      </w:r>
      <w:r>
        <w:rPr>
          <w:rFonts w:hint="eastAsia" w:ascii="宋体" w:eastAsia="宋体"/>
          <w:color w:val="000000"/>
          <w:lang w:val="en-US" w:eastAsia="zh-CN"/>
        </w:rPr>
        <w:t>工作主要内容包括：</w:t>
      </w:r>
      <w:r>
        <w:rPr>
          <w:rFonts w:hint="eastAsia" w:ascii="宋体" w:eastAsia="宋体"/>
          <w:color w:val="000000"/>
        </w:rPr>
        <w:t xml:space="preserve">  </w:t>
      </w:r>
    </w:p>
    <w:p w14:paraId="0883C2E6">
      <w:pPr>
        <w:pStyle w:val="65"/>
        <w:numPr>
          <w:ilvl w:val="0"/>
          <w:numId w:val="47"/>
        </w:numPr>
        <w:rPr>
          <w:rFonts w:hint="eastAsia"/>
          <w:color w:val="000000"/>
        </w:rPr>
      </w:pPr>
      <w:r>
        <w:rPr>
          <w:rFonts w:hint="eastAsia"/>
          <w:color w:val="000000"/>
        </w:rPr>
        <w:t>审核</w:t>
      </w:r>
      <w:r>
        <w:rPr>
          <w:rFonts w:hint="eastAsia"/>
          <w:color w:val="000000"/>
          <w:lang w:val="en-US" w:eastAsia="zh-CN"/>
        </w:rPr>
        <w:t>设备制造单位</w:t>
      </w:r>
      <w:r>
        <w:rPr>
          <w:rFonts w:hint="eastAsia"/>
          <w:color w:val="000000"/>
        </w:rPr>
        <w:t>提交的调试和试验大纲，</w:t>
      </w:r>
      <w:r>
        <w:rPr>
          <w:rFonts w:hint="eastAsia"/>
          <w:color w:val="000000"/>
          <w:lang w:val="en-US" w:eastAsia="zh-CN"/>
        </w:rPr>
        <w:t>应</w:t>
      </w:r>
      <w:r>
        <w:rPr>
          <w:rFonts w:hint="eastAsia"/>
          <w:color w:val="000000"/>
        </w:rPr>
        <w:t>覆盖</w:t>
      </w:r>
      <w:r>
        <w:rPr>
          <w:rFonts w:hint="eastAsia"/>
          <w:color w:val="000000"/>
          <w:lang w:val="en-US" w:eastAsia="zh-CN"/>
        </w:rPr>
        <w:t>合同</w:t>
      </w:r>
      <w:r>
        <w:rPr>
          <w:rFonts w:hint="eastAsia"/>
          <w:color w:val="000000"/>
        </w:rPr>
        <w:t>的全部要求；</w:t>
      </w:r>
    </w:p>
    <w:p w14:paraId="0AD5341A">
      <w:pPr>
        <w:pStyle w:val="65"/>
        <w:numPr>
          <w:ilvl w:val="0"/>
          <w:numId w:val="47"/>
        </w:numPr>
        <w:rPr>
          <w:rFonts w:hint="eastAsia"/>
          <w:color w:val="000000"/>
        </w:rPr>
      </w:pPr>
      <w:r>
        <w:rPr>
          <w:rFonts w:hint="eastAsia"/>
          <w:color w:val="000000"/>
        </w:rPr>
        <w:t>对组装调试、性能检测进行检查见证，确认最终调试结果；</w:t>
      </w:r>
    </w:p>
    <w:p w14:paraId="76981BB4">
      <w:pPr>
        <w:pStyle w:val="65"/>
        <w:numPr>
          <w:ilvl w:val="0"/>
          <w:numId w:val="47"/>
        </w:numPr>
        <w:rPr>
          <w:rFonts w:hint="eastAsia"/>
          <w:color w:val="000000"/>
        </w:rPr>
      </w:pPr>
      <w:r>
        <w:rPr>
          <w:rFonts w:hint="eastAsia"/>
          <w:color w:val="000000"/>
        </w:rPr>
        <w:t>审查调试单位、人员的相关资质；</w:t>
      </w:r>
    </w:p>
    <w:p w14:paraId="7CF59D8D">
      <w:pPr>
        <w:pStyle w:val="65"/>
        <w:numPr>
          <w:ilvl w:val="0"/>
          <w:numId w:val="47"/>
        </w:numPr>
        <w:rPr>
          <w:rFonts w:hint="eastAsia"/>
          <w:color w:val="000000"/>
        </w:rPr>
      </w:pPr>
      <w:r>
        <w:rPr>
          <w:rFonts w:hint="eastAsia"/>
          <w:color w:val="000000"/>
        </w:rPr>
        <w:t>审查设备调试技术方案和措施</w:t>
      </w:r>
      <w:r>
        <w:rPr>
          <w:rFonts w:hint="eastAsia"/>
          <w:color w:val="000000"/>
          <w:highlight w:val="none"/>
          <w:lang w:eastAsia="zh-CN"/>
        </w:rPr>
        <w:t>及</w:t>
      </w:r>
      <w:r>
        <w:rPr>
          <w:rFonts w:hint="eastAsia"/>
          <w:color w:val="000000"/>
        </w:rPr>
        <w:t>设备调试工作的安全生产措施和安全防范应急措施；</w:t>
      </w:r>
    </w:p>
    <w:p w14:paraId="2D75CF5E">
      <w:pPr>
        <w:pStyle w:val="65"/>
        <w:numPr>
          <w:ilvl w:val="0"/>
          <w:numId w:val="47"/>
        </w:numPr>
        <w:rPr>
          <w:rFonts w:hint="eastAsia"/>
          <w:color w:val="000000"/>
        </w:rPr>
      </w:pPr>
      <w:r>
        <w:rPr>
          <w:rFonts w:hint="eastAsia"/>
          <w:color w:val="000000"/>
        </w:rPr>
        <w:t>检查设备调试用的机具、仪器、装置的有效性和适用性；</w:t>
      </w:r>
    </w:p>
    <w:p w14:paraId="4007CC7C">
      <w:pPr>
        <w:pStyle w:val="65"/>
        <w:numPr>
          <w:ilvl w:val="0"/>
          <w:numId w:val="47"/>
        </w:numPr>
        <w:rPr>
          <w:rFonts w:hint="eastAsia"/>
          <w:color w:val="000000"/>
        </w:rPr>
      </w:pPr>
      <w:r>
        <w:rPr>
          <w:rFonts w:hint="eastAsia"/>
          <w:color w:val="000000"/>
        </w:rPr>
        <w:t>见证关键零部件、单机设备、成套设备和系统等调试过程,检查设备调试中的过程性结果；</w:t>
      </w:r>
    </w:p>
    <w:p w14:paraId="0A044695">
      <w:pPr>
        <w:pStyle w:val="65"/>
        <w:numPr>
          <w:ilvl w:val="0"/>
          <w:numId w:val="47"/>
        </w:numPr>
        <w:rPr>
          <w:rFonts w:hint="eastAsia" w:ascii="仿宋_GB2312" w:hAnsi="仿宋_GB2312" w:eastAsia="仿宋_GB2312" w:cs="仿宋_GB2312"/>
          <w:color w:val="000000"/>
          <w:sz w:val="32"/>
          <w:szCs w:val="36"/>
        </w:rPr>
      </w:pPr>
      <w:r>
        <w:rPr>
          <w:rFonts w:hint="eastAsia"/>
          <w:color w:val="000000"/>
        </w:rPr>
        <w:t>监督试验过程，如实记录原始数据，将试验结果与标准要求逐项比对，判定各项性能参数达标情况。</w:t>
      </w:r>
    </w:p>
    <w:p w14:paraId="4BA6DD94">
      <w:pPr>
        <w:pStyle w:val="67"/>
        <w:spacing w:before="120" w:after="120"/>
        <w:rPr>
          <w:rFonts w:hint="eastAsia" w:ascii="宋体" w:eastAsia="宋体"/>
          <w:color w:val="000000"/>
        </w:rPr>
      </w:pPr>
      <w:r>
        <w:rPr>
          <w:rFonts w:hint="eastAsia" w:ascii="宋体" w:eastAsia="宋体"/>
          <w:color w:val="000000"/>
        </w:rPr>
        <w:t>验收阶段</w:t>
      </w:r>
      <w:r>
        <w:rPr>
          <w:rFonts w:hint="eastAsia" w:ascii="宋体" w:hAnsi="Times New Roman" w:eastAsia="宋体" w:cs="Times New Roman"/>
          <w:color w:val="000000"/>
        </w:rPr>
        <w:t>设备监理质量管理</w:t>
      </w:r>
      <w:r>
        <w:rPr>
          <w:rFonts w:hint="eastAsia" w:ascii="宋体" w:eastAsia="宋体"/>
          <w:color w:val="000000"/>
          <w:lang w:val="en-US" w:eastAsia="zh-CN"/>
        </w:rPr>
        <w:t>工作主要内容包括：</w:t>
      </w:r>
    </w:p>
    <w:p w14:paraId="62D6EFC9">
      <w:pPr>
        <w:pStyle w:val="65"/>
        <w:numPr>
          <w:ilvl w:val="0"/>
          <w:numId w:val="48"/>
        </w:numPr>
        <w:rPr>
          <w:rFonts w:hint="eastAsia"/>
          <w:color w:val="000000"/>
        </w:rPr>
      </w:pPr>
      <w:r>
        <w:rPr>
          <w:rFonts w:hint="eastAsia"/>
          <w:color w:val="000000"/>
        </w:rPr>
        <w:t>审查验收方案和验收计划；</w:t>
      </w:r>
    </w:p>
    <w:p w14:paraId="153C6518">
      <w:pPr>
        <w:pStyle w:val="65"/>
        <w:numPr>
          <w:ilvl w:val="0"/>
          <w:numId w:val="48"/>
        </w:numPr>
        <w:rPr>
          <w:rFonts w:hint="eastAsia"/>
          <w:color w:val="000000"/>
        </w:rPr>
      </w:pPr>
      <w:r>
        <w:rPr>
          <w:rFonts w:hint="eastAsia"/>
          <w:color w:val="000000"/>
        </w:rPr>
        <w:t>在设备发货前，依据合同和技术协议，对设备的数量、外观、成套性、技术文件进行最终核查；</w:t>
      </w:r>
    </w:p>
    <w:p w14:paraId="3D2824C8">
      <w:pPr>
        <w:pStyle w:val="65"/>
        <w:numPr>
          <w:ilvl w:val="0"/>
          <w:numId w:val="48"/>
        </w:numPr>
        <w:rPr>
          <w:rFonts w:hint="eastAsia"/>
          <w:color w:val="000000"/>
        </w:rPr>
      </w:pPr>
      <w:r>
        <w:rPr>
          <w:rFonts w:hint="eastAsia"/>
          <w:color w:val="000000"/>
        </w:rPr>
        <w:t>设备运抵现场后，监理</w:t>
      </w:r>
      <w:r>
        <w:rPr>
          <w:rFonts w:hint="eastAsia"/>
          <w:color w:val="000000"/>
          <w:lang w:val="en-US" w:eastAsia="zh-CN"/>
        </w:rPr>
        <w:t>单位</w:t>
      </w:r>
      <w:r>
        <w:rPr>
          <w:rFonts w:hint="eastAsia"/>
          <w:color w:val="000000"/>
        </w:rPr>
        <w:t>应组织</w:t>
      </w:r>
      <w:r>
        <w:rPr>
          <w:rFonts w:hint="eastAsia"/>
          <w:color w:val="000000"/>
          <w:lang w:val="en-US" w:eastAsia="zh-CN"/>
        </w:rPr>
        <w:t>建设单位</w:t>
      </w:r>
      <w:r>
        <w:rPr>
          <w:rFonts w:hint="eastAsia"/>
          <w:color w:val="000000"/>
        </w:rPr>
        <w:t>、施工</w:t>
      </w:r>
      <w:r>
        <w:rPr>
          <w:rFonts w:hint="eastAsia"/>
          <w:color w:val="000000"/>
          <w:lang w:val="en-US" w:eastAsia="zh-CN"/>
        </w:rPr>
        <w:t>单位</w:t>
      </w:r>
      <w:r>
        <w:rPr>
          <w:rFonts w:hint="eastAsia"/>
          <w:color w:val="000000"/>
        </w:rPr>
        <w:t>共同开箱，检查设备在运输过程</w:t>
      </w:r>
      <w:r>
        <w:rPr>
          <w:rFonts w:hint="eastAsia"/>
          <w:color w:val="000000"/>
          <w:lang w:val="en-US" w:eastAsia="zh-CN"/>
        </w:rPr>
        <w:t>情况</w:t>
      </w:r>
      <w:r>
        <w:rPr>
          <w:rFonts w:hint="eastAsia"/>
          <w:color w:val="000000"/>
        </w:rPr>
        <w:t>，并形成书面记录；</w:t>
      </w:r>
    </w:p>
    <w:p w14:paraId="0701DDA6">
      <w:pPr>
        <w:pStyle w:val="65"/>
        <w:numPr>
          <w:ilvl w:val="0"/>
          <w:numId w:val="48"/>
        </w:numPr>
        <w:rPr>
          <w:rFonts w:hint="eastAsia"/>
          <w:color w:val="000000"/>
        </w:rPr>
      </w:pPr>
      <w:r>
        <w:rPr>
          <w:rFonts w:hint="eastAsia"/>
          <w:color w:val="000000"/>
        </w:rPr>
        <w:t>确认最终功能和性能</w:t>
      </w:r>
      <w:r>
        <w:rPr>
          <w:rFonts w:hint="eastAsia"/>
          <w:color w:val="000000"/>
          <w:lang w:val="en-US" w:eastAsia="zh-CN"/>
        </w:rPr>
        <w:t>应</w:t>
      </w:r>
      <w:r>
        <w:rPr>
          <w:rFonts w:hint="eastAsia"/>
          <w:color w:val="000000"/>
        </w:rPr>
        <w:t>符合合同、技术规范和验收标准的要求，审查</w:t>
      </w:r>
      <w:r>
        <w:rPr>
          <w:rFonts w:hint="eastAsia"/>
          <w:color w:val="000000"/>
          <w:lang w:val="en-US" w:eastAsia="zh-CN"/>
        </w:rPr>
        <w:t>设备制造</w:t>
      </w:r>
      <w:r>
        <w:rPr>
          <w:rFonts w:hint="eastAsia"/>
          <w:color w:val="000000"/>
        </w:rPr>
        <w:t>单位所提交的各阶段形成的技术和管理文档和竣工文件；</w:t>
      </w:r>
    </w:p>
    <w:p w14:paraId="59CB7451">
      <w:pPr>
        <w:pStyle w:val="65"/>
        <w:numPr>
          <w:ilvl w:val="0"/>
          <w:numId w:val="48"/>
        </w:numPr>
        <w:rPr>
          <w:rFonts w:hint="eastAsia" w:ascii="仿宋_GB2312" w:hAnsi="仿宋_GB2312" w:eastAsia="仿宋_GB2312" w:cs="仿宋_GB2312"/>
          <w:color w:val="000000"/>
          <w:sz w:val="32"/>
          <w:szCs w:val="28"/>
        </w:rPr>
      </w:pPr>
      <w:r>
        <w:rPr>
          <w:rFonts w:hint="eastAsia"/>
          <w:color w:val="000000"/>
        </w:rPr>
        <w:t>参加</w:t>
      </w:r>
      <w:r>
        <w:rPr>
          <w:rFonts w:hint="eastAsia"/>
          <w:color w:val="000000"/>
          <w:lang w:val="en-US" w:eastAsia="zh-CN"/>
        </w:rPr>
        <w:t>开箱</w:t>
      </w:r>
      <w:r>
        <w:rPr>
          <w:rFonts w:hint="eastAsia"/>
          <w:color w:val="000000"/>
        </w:rPr>
        <w:t>验收,</w:t>
      </w:r>
      <w:r>
        <w:rPr>
          <w:rFonts w:hint="eastAsia"/>
          <w:color w:val="000000"/>
          <w:lang w:val="en-US" w:eastAsia="zh-CN"/>
        </w:rPr>
        <w:t>签署</w:t>
      </w:r>
      <w:r>
        <w:rPr>
          <w:rFonts w:hint="eastAsia"/>
          <w:color w:val="000000"/>
        </w:rPr>
        <w:t>监理意见。</w:t>
      </w:r>
    </w:p>
    <w:p w14:paraId="7095D286">
      <w:pPr>
        <w:pStyle w:val="57"/>
        <w:rPr>
          <w:rFonts w:hint="eastAsia"/>
          <w:color w:val="000000"/>
        </w:rPr>
      </w:pPr>
      <w:r>
        <w:rPr>
          <w:rFonts w:hint="eastAsia"/>
          <w:color w:val="000000"/>
        </w:rPr>
        <w:t>设备监理进度管理工作主要内容包括：</w:t>
      </w:r>
    </w:p>
    <w:p w14:paraId="6EEA1671">
      <w:pPr>
        <w:pStyle w:val="65"/>
        <w:numPr>
          <w:ilvl w:val="0"/>
          <w:numId w:val="49"/>
        </w:numPr>
        <w:rPr>
          <w:rFonts w:hint="eastAsia"/>
          <w:color w:val="000000"/>
        </w:rPr>
      </w:pPr>
      <w:r>
        <w:rPr>
          <w:rFonts w:hint="eastAsia"/>
          <w:color w:val="000000"/>
        </w:rPr>
        <w:t>审核设备制造单位编制的生产进度计划；</w:t>
      </w:r>
    </w:p>
    <w:p w14:paraId="3F29734B">
      <w:pPr>
        <w:pStyle w:val="65"/>
        <w:numPr>
          <w:ilvl w:val="0"/>
          <w:numId w:val="49"/>
        </w:numPr>
        <w:rPr>
          <w:rFonts w:hint="eastAsia" w:ascii="仿宋_GB2312" w:hAnsi="仿宋_GB2312" w:eastAsia="仿宋_GB2312" w:cs="仿宋_GB2312"/>
          <w:color w:val="000000"/>
          <w:sz w:val="32"/>
          <w:szCs w:val="28"/>
        </w:rPr>
      </w:pPr>
      <w:r>
        <w:rPr>
          <w:rFonts w:hint="eastAsia"/>
          <w:color w:val="000000"/>
        </w:rPr>
        <w:t>检查设备材料设计、排产、加工、装配、试验及包装发运情况，督促设备制造单位按期供货。</w:t>
      </w:r>
    </w:p>
    <w:p w14:paraId="0A489263">
      <w:pPr>
        <w:pStyle w:val="57"/>
        <w:rPr>
          <w:rFonts w:hint="eastAsia"/>
          <w:color w:val="000000"/>
        </w:rPr>
      </w:pPr>
      <w:commentRangeStart w:id="16"/>
      <w:commentRangeStart w:id="17"/>
      <w:r>
        <w:rPr>
          <w:rFonts w:hint="eastAsia"/>
          <w:color w:val="000000"/>
        </w:rPr>
        <w:t>设备监理信息管理工作主要内容包括：</w:t>
      </w:r>
    </w:p>
    <w:p w14:paraId="01E3F6B2">
      <w:pPr>
        <w:pStyle w:val="65"/>
        <w:numPr>
          <w:ilvl w:val="0"/>
          <w:numId w:val="47"/>
        </w:numPr>
        <w:rPr>
          <w:rFonts w:hint="eastAsia" w:hAnsi="Times New Roman" w:eastAsia="宋体" w:cs="Times New Roman"/>
          <w:color w:val="000000"/>
        </w:rPr>
      </w:pPr>
      <w:r>
        <w:rPr>
          <w:rFonts w:hint="eastAsia" w:hAnsi="Times New Roman" w:eastAsia="宋体" w:cs="Times New Roman"/>
          <w:color w:val="000000"/>
        </w:rPr>
        <w:t>收集与整理设备监理全过程文件资料，涵盖设备制造各关键工序、关键参数检查记录、见证取样检测报告、质量问题专项处置报告、监理日志、监理周报、监理工作总结等监理过程形成的资料；</w:t>
      </w:r>
    </w:p>
    <w:p w14:paraId="6500B8CD">
      <w:pPr>
        <w:pStyle w:val="65"/>
        <w:numPr>
          <w:ilvl w:val="0"/>
          <w:numId w:val="47"/>
        </w:numPr>
        <w:rPr>
          <w:rFonts w:hint="eastAsia" w:hAnsi="Times New Roman" w:eastAsia="宋体" w:cs="Times New Roman"/>
          <w:color w:val="000000"/>
        </w:rPr>
      </w:pPr>
      <w:r>
        <w:rPr>
          <w:rFonts w:hint="eastAsia" w:ascii="宋体" w:hAnsi="Times New Roman" w:eastAsia="宋体" w:cs="Times New Roman"/>
          <w:color w:val="000000"/>
          <w:sz w:val="21"/>
          <w:szCs w:val="20"/>
        </w:rPr>
        <w:t>定期向建设单位及时、准确、完整报送经归集整理的设备监理信息</w:t>
      </w:r>
      <w:r>
        <w:rPr>
          <w:rFonts w:hint="eastAsia" w:hAnsi="Times New Roman" w:eastAsia="宋体" w:cs="Times New Roman"/>
          <w:color w:val="000000"/>
        </w:rPr>
        <w:t>；</w:t>
      </w:r>
    </w:p>
    <w:p w14:paraId="0203F0C7">
      <w:pPr>
        <w:pStyle w:val="65"/>
        <w:numPr>
          <w:ilvl w:val="0"/>
          <w:numId w:val="47"/>
        </w:numPr>
        <w:rPr>
          <w:rFonts w:hint="eastAsia" w:hAnsi="Times New Roman" w:eastAsia="宋体" w:cs="Times New Roman"/>
          <w:color w:val="000000"/>
        </w:rPr>
      </w:pPr>
      <w:r>
        <w:rPr>
          <w:rFonts w:hint="eastAsia" w:ascii="宋体" w:hAnsi="Times New Roman" w:eastAsia="宋体" w:cs="Times New Roman"/>
          <w:color w:val="000000"/>
          <w:sz w:val="21"/>
          <w:szCs w:val="20"/>
        </w:rPr>
        <w:t>对设备监理信息实施规范保管</w:t>
      </w:r>
      <w:r>
        <w:rPr>
          <w:rFonts w:hint="eastAsia" w:hAnsi="Times New Roman" w:eastAsia="宋体" w:cs="Times New Roman"/>
          <w:color w:val="000000"/>
        </w:rPr>
        <w:t>。</w:t>
      </w:r>
      <w:commentRangeEnd w:id="16"/>
      <w:r>
        <w:rPr>
          <w:rFonts w:hint="eastAsia" w:hAnsi="Times New Roman" w:eastAsia="宋体" w:cs="Times New Roman"/>
          <w:color w:val="000000"/>
        </w:rPr>
        <w:commentReference w:id="16"/>
      </w:r>
      <w:commentRangeEnd w:id="17"/>
      <w:r>
        <w:commentReference w:id="17"/>
      </w:r>
    </w:p>
    <w:bookmarkEnd w:id="254"/>
    <w:bookmarkEnd w:id="255"/>
    <w:bookmarkEnd w:id="256"/>
    <w:bookmarkEnd w:id="257"/>
    <w:bookmarkEnd w:id="258"/>
    <w:p w14:paraId="207E2CE3">
      <w:pPr>
        <w:pStyle w:val="49"/>
        <w:spacing w:before="240" w:after="240"/>
        <w:rPr>
          <w:color w:val="000000"/>
        </w:rPr>
      </w:pPr>
      <w:bookmarkStart w:id="271" w:name="_Toc155604575"/>
      <w:bookmarkStart w:id="272" w:name="_Toc28427"/>
      <w:bookmarkStart w:id="273" w:name="_Toc155628800"/>
      <w:bookmarkStart w:id="274" w:name="_Toc28521"/>
      <w:bookmarkStart w:id="275" w:name="_Toc155714296"/>
      <w:bookmarkStart w:id="276" w:name="_Toc155714356"/>
      <w:bookmarkStart w:id="277" w:name="_Toc155628737"/>
      <w:r>
        <w:rPr>
          <w:rFonts w:hint="eastAsia"/>
          <w:color w:val="000000"/>
        </w:rPr>
        <w:t>造价咨询</w:t>
      </w:r>
      <w:bookmarkEnd w:id="271"/>
      <w:bookmarkEnd w:id="272"/>
      <w:bookmarkEnd w:id="273"/>
      <w:bookmarkEnd w:id="274"/>
      <w:bookmarkEnd w:id="275"/>
      <w:bookmarkEnd w:id="276"/>
      <w:bookmarkEnd w:id="277"/>
    </w:p>
    <w:p w14:paraId="2FC2CA95">
      <w:pPr>
        <w:pStyle w:val="51"/>
        <w:spacing w:before="120" w:after="120"/>
        <w:rPr>
          <w:color w:val="000000"/>
        </w:rPr>
      </w:pPr>
      <w:bookmarkStart w:id="278" w:name="_Toc10014"/>
      <w:bookmarkStart w:id="279" w:name="_Toc155628738"/>
      <w:bookmarkStart w:id="280" w:name="_Toc22136"/>
      <w:bookmarkStart w:id="281" w:name="_Toc155628801"/>
      <w:bookmarkStart w:id="282" w:name="_Toc155714297"/>
      <w:bookmarkStart w:id="283" w:name="_Toc155714357"/>
      <w:bookmarkStart w:id="284" w:name="_Toc155604576"/>
      <w:r>
        <w:rPr>
          <w:rFonts w:hint="eastAsia"/>
          <w:color w:val="000000"/>
        </w:rPr>
        <w:t>一般规定</w:t>
      </w:r>
      <w:bookmarkEnd w:id="278"/>
      <w:bookmarkEnd w:id="279"/>
      <w:bookmarkEnd w:id="280"/>
      <w:bookmarkEnd w:id="281"/>
      <w:bookmarkEnd w:id="282"/>
      <w:bookmarkEnd w:id="283"/>
      <w:bookmarkEnd w:id="284"/>
    </w:p>
    <w:p w14:paraId="6F0E377A">
      <w:pPr>
        <w:pStyle w:val="57"/>
        <w:rPr>
          <w:color w:val="000000"/>
        </w:rPr>
      </w:pPr>
      <w:r>
        <w:rPr>
          <w:rFonts w:hint="eastAsia"/>
          <w:color w:val="000000"/>
        </w:rPr>
        <w:t>造价咨询工作受建设单位委托，为建设项目各阶段工程计价和工程造价管理提供服务，一般包括决策、设计、发承包、实施、竣工等某一阶段或多个阶段的造价咨询工作，编制并提供咨询成果文件，或提供审核意见。承担编制工作的咨询单位不能同时承担审核工作。</w:t>
      </w:r>
    </w:p>
    <w:p w14:paraId="01E8A52B">
      <w:pPr>
        <w:pStyle w:val="68"/>
        <w:rPr>
          <w:color w:val="000000"/>
        </w:rPr>
      </w:pPr>
      <w:r>
        <w:rPr>
          <w:rFonts w:hint="eastAsia"/>
          <w:color w:val="000000"/>
          <w:sz w:val="21"/>
          <w:szCs w:val="20"/>
        </w:rPr>
        <w:t>决策阶段工作可参照本文件第8章相关规定开展。</w:t>
      </w:r>
    </w:p>
    <w:p w14:paraId="47E72491">
      <w:pPr>
        <w:pStyle w:val="57"/>
        <w:rPr>
          <w:color w:val="000000"/>
        </w:rPr>
      </w:pPr>
      <w:r>
        <w:rPr>
          <w:rFonts w:hint="eastAsia"/>
          <w:color w:val="000000"/>
        </w:rPr>
        <w:t>工程造价咨询的主要工作内容包括：</w:t>
      </w:r>
    </w:p>
    <w:p w14:paraId="7ADEFECC">
      <w:pPr>
        <w:pStyle w:val="65"/>
        <w:numPr>
          <w:ilvl w:val="0"/>
          <w:numId w:val="50"/>
        </w:numPr>
        <w:rPr>
          <w:color w:val="000000"/>
        </w:rPr>
      </w:pPr>
      <w:r>
        <w:rPr>
          <w:rFonts w:hint="eastAsia"/>
          <w:color w:val="000000"/>
        </w:rPr>
        <w:t>投资估算的审核；</w:t>
      </w:r>
    </w:p>
    <w:p w14:paraId="337E6DC5">
      <w:pPr>
        <w:pStyle w:val="65"/>
        <w:numPr>
          <w:ilvl w:val="0"/>
          <w:numId w:val="3"/>
        </w:numPr>
        <w:tabs>
          <w:tab w:val="clear" w:pos="851"/>
        </w:tabs>
        <w:rPr>
          <w:color w:val="000000"/>
        </w:rPr>
      </w:pPr>
      <w:r>
        <w:rPr>
          <w:rFonts w:hint="eastAsia"/>
          <w:color w:val="000000"/>
        </w:rPr>
        <w:t>初步设计概算的审核；</w:t>
      </w:r>
    </w:p>
    <w:p w14:paraId="362A5834">
      <w:pPr>
        <w:pStyle w:val="65"/>
        <w:numPr>
          <w:ilvl w:val="0"/>
          <w:numId w:val="3"/>
        </w:numPr>
        <w:tabs>
          <w:tab w:val="clear" w:pos="851"/>
        </w:tabs>
        <w:rPr>
          <w:color w:val="000000"/>
        </w:rPr>
      </w:pPr>
      <w:r>
        <w:rPr>
          <w:rFonts w:hint="eastAsia"/>
          <w:color w:val="000000"/>
        </w:rPr>
        <w:t>施工图预算的审核；</w:t>
      </w:r>
    </w:p>
    <w:p w14:paraId="74FB90DE">
      <w:pPr>
        <w:pStyle w:val="65"/>
        <w:numPr>
          <w:ilvl w:val="0"/>
          <w:numId w:val="3"/>
        </w:numPr>
        <w:tabs>
          <w:tab w:val="clear" w:pos="851"/>
        </w:tabs>
        <w:rPr>
          <w:color w:val="000000"/>
        </w:rPr>
      </w:pPr>
      <w:r>
        <w:rPr>
          <w:rFonts w:hint="eastAsia"/>
          <w:color w:val="000000"/>
        </w:rPr>
        <w:t>工程量清单的编制或审核；</w:t>
      </w:r>
    </w:p>
    <w:p w14:paraId="6D245081">
      <w:pPr>
        <w:pStyle w:val="65"/>
        <w:numPr>
          <w:ilvl w:val="0"/>
          <w:numId w:val="3"/>
        </w:numPr>
        <w:tabs>
          <w:tab w:val="clear" w:pos="851"/>
        </w:tabs>
        <w:rPr>
          <w:color w:val="000000"/>
        </w:rPr>
      </w:pPr>
      <w:r>
        <w:rPr>
          <w:rFonts w:hint="eastAsia"/>
          <w:color w:val="000000"/>
        </w:rPr>
        <w:t>最高投标限价的编制或审核；</w:t>
      </w:r>
    </w:p>
    <w:p w14:paraId="2C227434">
      <w:pPr>
        <w:pStyle w:val="65"/>
        <w:numPr>
          <w:ilvl w:val="0"/>
          <w:numId w:val="3"/>
        </w:numPr>
        <w:tabs>
          <w:tab w:val="clear" w:pos="851"/>
        </w:tabs>
        <w:rPr>
          <w:color w:val="000000"/>
        </w:rPr>
      </w:pPr>
      <w:r>
        <w:rPr>
          <w:rFonts w:hint="eastAsia"/>
          <w:color w:val="000000"/>
        </w:rPr>
        <w:t>工程变更及现场签证的审核；</w:t>
      </w:r>
    </w:p>
    <w:p w14:paraId="3FAC4060">
      <w:pPr>
        <w:pStyle w:val="65"/>
        <w:numPr>
          <w:ilvl w:val="0"/>
          <w:numId w:val="3"/>
        </w:numPr>
        <w:tabs>
          <w:tab w:val="clear" w:pos="851"/>
        </w:tabs>
        <w:rPr>
          <w:color w:val="000000"/>
        </w:rPr>
      </w:pPr>
      <w:r>
        <w:rPr>
          <w:rFonts w:hint="eastAsia"/>
          <w:color w:val="000000"/>
        </w:rPr>
        <w:t>工程结算的审核；</w:t>
      </w:r>
    </w:p>
    <w:p w14:paraId="27E29022">
      <w:pPr>
        <w:pStyle w:val="65"/>
        <w:numPr>
          <w:ilvl w:val="0"/>
          <w:numId w:val="3"/>
        </w:numPr>
        <w:tabs>
          <w:tab w:val="clear" w:pos="851"/>
        </w:tabs>
        <w:rPr>
          <w:color w:val="000000"/>
        </w:rPr>
      </w:pPr>
      <w:r>
        <w:rPr>
          <w:rFonts w:hint="eastAsia"/>
          <w:color w:val="000000"/>
        </w:rPr>
        <w:t>方案比选、限额设计、优化设计的造价咨询。</w:t>
      </w:r>
    </w:p>
    <w:p w14:paraId="28C5DF97">
      <w:pPr>
        <w:pStyle w:val="57"/>
        <w:rPr>
          <w:color w:val="000000"/>
        </w:rPr>
      </w:pPr>
      <w:r>
        <w:rPr>
          <w:rFonts w:hint="eastAsia"/>
          <w:color w:val="000000"/>
        </w:rPr>
        <w:t>工程咨询单位承担造价咨询业务后，应编制工作计划；承担大型项目或全过程工程造价管理咨询业务时，应编制工程造价咨询项目的工作大纲。</w:t>
      </w:r>
    </w:p>
    <w:p w14:paraId="39C9A7F5">
      <w:pPr>
        <w:pStyle w:val="57"/>
        <w:rPr>
          <w:color w:val="000000"/>
        </w:rPr>
      </w:pPr>
      <w:r>
        <w:rPr>
          <w:rFonts w:hint="eastAsia"/>
          <w:color w:val="000000"/>
        </w:rPr>
        <w:t>造价咨询成果文件主要包括设计概算、施工图预算、工程量清单、最高投标限价、工程计量与支付、竣工结算、竣工决算编制或审核报告以及工程造价鉴定意见书等。</w:t>
      </w:r>
    </w:p>
    <w:p w14:paraId="57889E87">
      <w:pPr>
        <w:pStyle w:val="51"/>
        <w:spacing w:before="120" w:after="120"/>
        <w:rPr>
          <w:color w:val="000000"/>
        </w:rPr>
      </w:pPr>
      <w:bookmarkStart w:id="285" w:name="_Toc3570"/>
      <w:bookmarkStart w:id="286" w:name="_Toc23969"/>
      <w:bookmarkStart w:id="287" w:name="_Toc155628802"/>
      <w:bookmarkStart w:id="288" w:name="_Toc155714358"/>
      <w:bookmarkStart w:id="289" w:name="_Toc155628739"/>
      <w:bookmarkStart w:id="290" w:name="_Toc155714298"/>
      <w:bookmarkStart w:id="291" w:name="_Toc155604577"/>
      <w:r>
        <w:rPr>
          <w:rFonts w:hint="eastAsia"/>
          <w:color w:val="000000"/>
        </w:rPr>
        <w:t>造价咨询主要工作</w:t>
      </w:r>
      <w:bookmarkEnd w:id="285"/>
      <w:bookmarkEnd w:id="286"/>
      <w:bookmarkEnd w:id="287"/>
      <w:bookmarkEnd w:id="288"/>
      <w:bookmarkEnd w:id="289"/>
      <w:bookmarkEnd w:id="290"/>
      <w:bookmarkEnd w:id="291"/>
    </w:p>
    <w:p w14:paraId="2A6B819B">
      <w:pPr>
        <w:pStyle w:val="58"/>
        <w:spacing w:before="120" w:after="120"/>
        <w:rPr>
          <w:color w:val="000000"/>
        </w:rPr>
      </w:pPr>
      <w:r>
        <w:rPr>
          <w:rFonts w:hint="eastAsia"/>
          <w:color w:val="000000"/>
        </w:rPr>
        <w:t>设计概算咨询</w:t>
      </w:r>
    </w:p>
    <w:p w14:paraId="4CECC901">
      <w:pPr>
        <w:pStyle w:val="66"/>
        <w:rPr>
          <w:color w:val="000000"/>
        </w:rPr>
      </w:pPr>
      <w:r>
        <w:rPr>
          <w:rFonts w:hint="eastAsia"/>
          <w:color w:val="000000"/>
        </w:rPr>
        <w:t>参加初步设计内审，重点审查初步设计概算的编制深度和概算资料完整性，概算编制依据文件的时效性和合规性。</w:t>
      </w:r>
    </w:p>
    <w:p w14:paraId="78E6CD9C">
      <w:pPr>
        <w:pStyle w:val="66"/>
        <w:rPr>
          <w:color w:val="000000"/>
        </w:rPr>
      </w:pPr>
      <w:r>
        <w:rPr>
          <w:rFonts w:hint="eastAsia"/>
          <w:color w:val="000000"/>
        </w:rPr>
        <w:t>组织或参与初步设计概算评审及收口管理，督促设计单位按时提交初步设计收口概算。</w:t>
      </w:r>
    </w:p>
    <w:p w14:paraId="148F809C">
      <w:pPr>
        <w:pStyle w:val="58"/>
        <w:spacing w:before="120" w:after="120"/>
        <w:rPr>
          <w:color w:val="000000"/>
        </w:rPr>
      </w:pPr>
      <w:r>
        <w:rPr>
          <w:rFonts w:hint="eastAsia"/>
          <w:color w:val="000000"/>
        </w:rPr>
        <w:t>施工图预算咨询</w:t>
      </w:r>
    </w:p>
    <w:p w14:paraId="7676DEEE">
      <w:pPr>
        <w:pStyle w:val="66"/>
        <w:rPr>
          <w:color w:val="000000"/>
        </w:rPr>
      </w:pPr>
      <w:r>
        <w:rPr>
          <w:rFonts w:hint="eastAsia"/>
          <w:color w:val="000000"/>
        </w:rPr>
        <w:t>组织或参与施工图预算审查，重点审查施工图预算的编制深度和预算资料完整性，审核编制依据、工程量、价格、费用等内容。</w:t>
      </w:r>
    </w:p>
    <w:p w14:paraId="2660F952">
      <w:pPr>
        <w:pStyle w:val="66"/>
        <w:rPr>
          <w:color w:val="000000"/>
        </w:rPr>
      </w:pPr>
      <w:r>
        <w:rPr>
          <w:rFonts w:hint="eastAsia"/>
          <w:color w:val="000000"/>
        </w:rPr>
        <w:t>负责施工图预算管理的监督、检查等工作。</w:t>
      </w:r>
    </w:p>
    <w:p w14:paraId="1FF6D986">
      <w:pPr>
        <w:pStyle w:val="58"/>
        <w:spacing w:before="120" w:after="120"/>
        <w:rPr>
          <w:color w:val="000000"/>
        </w:rPr>
      </w:pPr>
      <w:r>
        <w:rPr>
          <w:rFonts w:hint="eastAsia"/>
          <w:color w:val="000000"/>
        </w:rPr>
        <w:t>工程量清单及最高投标限价咨询</w:t>
      </w:r>
    </w:p>
    <w:p w14:paraId="0DA207F2">
      <w:pPr>
        <w:pStyle w:val="66"/>
        <w:rPr>
          <w:color w:val="000000"/>
        </w:rPr>
      </w:pPr>
      <w:r>
        <w:rPr>
          <w:rFonts w:hint="eastAsia"/>
          <w:color w:val="000000"/>
        </w:rPr>
        <w:t>编制或审核招标工程量清单。招标工程量清单应达到施工图深度要求，内容包括分部分项工程量清单、措施项目清单、其他项目清单等。</w:t>
      </w:r>
    </w:p>
    <w:p w14:paraId="0458E558">
      <w:pPr>
        <w:pStyle w:val="66"/>
        <w:rPr>
          <w:color w:val="000000"/>
        </w:rPr>
      </w:pPr>
      <w:r>
        <w:rPr>
          <w:rFonts w:hint="eastAsia"/>
          <w:color w:val="000000"/>
        </w:rPr>
        <w:t>编制或审核最高投标限价。工程量应依据招标工程量清单确定，单价应采用综合单价，各项费用计列应满足招标文件的要求。</w:t>
      </w:r>
    </w:p>
    <w:p w14:paraId="69CA63BA">
      <w:pPr>
        <w:pStyle w:val="58"/>
        <w:spacing w:before="120" w:after="120"/>
        <w:rPr>
          <w:color w:val="000000"/>
        </w:rPr>
      </w:pPr>
      <w:r>
        <w:rPr>
          <w:rFonts w:hint="eastAsia"/>
          <w:color w:val="000000"/>
        </w:rPr>
        <w:t>工程变更及现场签证咨询</w:t>
      </w:r>
    </w:p>
    <w:p w14:paraId="5CE5C546">
      <w:pPr>
        <w:pStyle w:val="66"/>
        <w:rPr>
          <w:color w:val="000000"/>
        </w:rPr>
      </w:pPr>
      <w:r>
        <w:rPr>
          <w:rFonts w:hint="eastAsia"/>
          <w:color w:val="000000"/>
        </w:rPr>
        <w:t>审核工程变更，变更方案应可靠、可行，变更文件真实、完整。</w:t>
      </w:r>
    </w:p>
    <w:p w14:paraId="5522B6F4">
      <w:pPr>
        <w:pStyle w:val="66"/>
        <w:rPr>
          <w:color w:val="000000"/>
        </w:rPr>
      </w:pPr>
      <w:r>
        <w:rPr>
          <w:rFonts w:hint="eastAsia"/>
          <w:color w:val="000000"/>
        </w:rPr>
        <w:t>审核现场签证，现场签证事由充分，费用计列合理，签证报审材料应真实、完整。</w:t>
      </w:r>
    </w:p>
    <w:p w14:paraId="5DC1ECFF">
      <w:pPr>
        <w:pStyle w:val="58"/>
        <w:spacing w:before="120" w:after="120"/>
        <w:rPr>
          <w:color w:val="000000"/>
        </w:rPr>
      </w:pPr>
      <w:r>
        <w:rPr>
          <w:rFonts w:hint="eastAsia"/>
          <w:color w:val="000000"/>
        </w:rPr>
        <w:t>工程结算咨询</w:t>
      </w:r>
    </w:p>
    <w:p w14:paraId="0729FBAC">
      <w:pPr>
        <w:pStyle w:val="66"/>
        <w:rPr>
          <w:color w:val="000000"/>
        </w:rPr>
      </w:pPr>
      <w:r>
        <w:rPr>
          <w:rFonts w:hint="eastAsia"/>
          <w:color w:val="000000"/>
        </w:rPr>
        <w:t>开展分部结算审核，审核分部工程量计算书、隐蔽工程验收记录等，提出审核意见。</w:t>
      </w:r>
    </w:p>
    <w:p w14:paraId="0F40A92F">
      <w:pPr>
        <w:pStyle w:val="66"/>
        <w:rPr>
          <w:color w:val="000000"/>
        </w:rPr>
      </w:pPr>
      <w:r>
        <w:rPr>
          <w:rFonts w:hint="eastAsia"/>
          <w:color w:val="000000"/>
        </w:rPr>
        <w:t>审核竣工结算文件，处理分歧事项，形成竣工结算审核成果文件,提交竣工结算审核报告。</w:t>
      </w:r>
    </w:p>
    <w:p w14:paraId="57739A03">
      <w:pPr>
        <w:pStyle w:val="66"/>
        <w:rPr>
          <w:color w:val="000000"/>
        </w:rPr>
      </w:pPr>
      <w:r>
        <w:rPr>
          <w:rFonts w:hint="eastAsia"/>
          <w:color w:val="000000"/>
        </w:rPr>
        <w:t>配合开展工程结算检查、财务决算、工程审计等工作。</w:t>
      </w:r>
    </w:p>
    <w:p w14:paraId="63BBD6E5">
      <w:pPr>
        <w:pStyle w:val="49"/>
        <w:spacing w:before="240" w:after="240"/>
        <w:rPr>
          <w:color w:val="000000"/>
        </w:rPr>
      </w:pPr>
      <w:bookmarkStart w:id="292" w:name="_Toc155628803"/>
      <w:bookmarkStart w:id="293" w:name="_Toc5104"/>
      <w:bookmarkStart w:id="294" w:name="_Toc155604578"/>
      <w:bookmarkStart w:id="295" w:name="_Toc155714299"/>
      <w:bookmarkStart w:id="296" w:name="_Toc155714359"/>
      <w:bookmarkStart w:id="297" w:name="_Toc15205"/>
      <w:bookmarkStart w:id="298" w:name="_Toc155628740"/>
      <w:r>
        <w:rPr>
          <w:rFonts w:hint="eastAsia"/>
          <w:color w:val="000000"/>
        </w:rPr>
        <w:t>数智化管理咨询</w:t>
      </w:r>
      <w:bookmarkEnd w:id="292"/>
      <w:bookmarkEnd w:id="293"/>
      <w:bookmarkEnd w:id="294"/>
      <w:bookmarkEnd w:id="295"/>
      <w:bookmarkEnd w:id="296"/>
      <w:bookmarkEnd w:id="297"/>
      <w:bookmarkEnd w:id="298"/>
    </w:p>
    <w:p w14:paraId="17FB46B7">
      <w:pPr>
        <w:pStyle w:val="51"/>
        <w:spacing w:before="120" w:after="120"/>
        <w:rPr>
          <w:color w:val="000000"/>
        </w:rPr>
      </w:pPr>
      <w:bookmarkStart w:id="299" w:name="_Toc155628804"/>
      <w:bookmarkStart w:id="300" w:name="_Toc155714360"/>
      <w:bookmarkStart w:id="301" w:name="_Toc23462"/>
      <w:bookmarkStart w:id="302" w:name="_Toc155628741"/>
      <w:bookmarkStart w:id="303" w:name="_Toc155714300"/>
      <w:bookmarkStart w:id="304" w:name="_Toc4001"/>
      <w:bookmarkStart w:id="305" w:name="_Toc155604579"/>
      <w:r>
        <w:rPr>
          <w:rFonts w:hint="eastAsia"/>
          <w:color w:val="000000"/>
        </w:rPr>
        <w:t>一般规定</w:t>
      </w:r>
      <w:bookmarkEnd w:id="299"/>
      <w:bookmarkEnd w:id="300"/>
      <w:bookmarkEnd w:id="301"/>
      <w:bookmarkEnd w:id="302"/>
      <w:bookmarkEnd w:id="303"/>
      <w:bookmarkEnd w:id="304"/>
      <w:bookmarkEnd w:id="305"/>
    </w:p>
    <w:p w14:paraId="4F87B109">
      <w:pPr>
        <w:pStyle w:val="57"/>
        <w:rPr>
          <w:color w:val="000000"/>
        </w:rPr>
      </w:pPr>
      <w:r>
        <w:rPr>
          <w:rFonts w:hint="eastAsia"/>
          <w:color w:val="000000"/>
        </w:rPr>
        <w:t>工程咨询单位按照全过程工程咨询服务合同约定，应用数字化、智能化技术，对光伏发电工程的安全、质量、进度、造价、合同、信息等进行管理。</w:t>
      </w:r>
    </w:p>
    <w:p w14:paraId="3B62045B">
      <w:pPr>
        <w:pStyle w:val="57"/>
        <w:rPr>
          <w:color w:val="000000"/>
        </w:rPr>
      </w:pPr>
      <w:r>
        <w:rPr>
          <w:rFonts w:hint="eastAsia"/>
          <w:color w:val="000000"/>
        </w:rPr>
        <w:t>数智化管理适用于全过程工程咨询的各项工作，对工程咨询服务过程中应用的数字化、智能化技术进行管理。</w:t>
      </w:r>
    </w:p>
    <w:p w14:paraId="777A29C3">
      <w:pPr>
        <w:pStyle w:val="51"/>
        <w:spacing w:before="120" w:after="120"/>
        <w:rPr>
          <w:color w:val="000000"/>
        </w:rPr>
      </w:pPr>
      <w:bookmarkStart w:id="306" w:name="_Toc155604580"/>
      <w:bookmarkStart w:id="307" w:name="_Toc6822"/>
      <w:bookmarkStart w:id="308" w:name="_Toc13830"/>
      <w:bookmarkStart w:id="309" w:name="_Toc155714361"/>
      <w:bookmarkStart w:id="310" w:name="_Toc155628805"/>
      <w:bookmarkStart w:id="311" w:name="_Toc155714301"/>
      <w:bookmarkStart w:id="312" w:name="_Toc155628742"/>
      <w:r>
        <w:rPr>
          <w:rFonts w:hint="eastAsia"/>
          <w:color w:val="000000"/>
        </w:rPr>
        <w:t>数智化管理咨询主要工作</w:t>
      </w:r>
      <w:bookmarkEnd w:id="306"/>
      <w:bookmarkEnd w:id="307"/>
      <w:bookmarkEnd w:id="308"/>
      <w:bookmarkEnd w:id="309"/>
      <w:bookmarkEnd w:id="310"/>
      <w:bookmarkEnd w:id="311"/>
      <w:bookmarkEnd w:id="312"/>
      <w:r>
        <w:commentReference w:id="18"/>
      </w:r>
    </w:p>
    <w:p w14:paraId="5C4774DB">
      <w:pPr>
        <w:pStyle w:val="57"/>
        <w:rPr>
          <w:color w:val="000000"/>
        </w:rPr>
      </w:pPr>
      <w:r>
        <w:rPr>
          <w:rFonts w:hint="eastAsia"/>
          <w:color w:val="000000"/>
        </w:rPr>
        <w:t>数智化管理的规划作为全过程工程咨询服务规划的组成部分，纳入整体策划，并与全过程咨询服务的安全、质量、进度、投资等目标要求相匹配。</w:t>
      </w:r>
    </w:p>
    <w:p w14:paraId="1556821C">
      <w:pPr>
        <w:pStyle w:val="57"/>
        <w:rPr>
          <w:color w:val="000000"/>
        </w:rPr>
      </w:pPr>
      <w:r>
        <w:rPr>
          <w:rFonts w:hint="eastAsia"/>
          <w:color w:val="000000"/>
        </w:rPr>
        <w:t>数智化管理的规划根据项目类型、规模、复杂程度、合同要求等因素综合确定。</w:t>
      </w:r>
    </w:p>
    <w:p w14:paraId="2F7C9224">
      <w:pPr>
        <w:pStyle w:val="57"/>
        <w:rPr>
          <w:color w:val="000000"/>
        </w:rPr>
      </w:pPr>
      <w:r>
        <w:rPr>
          <w:rFonts w:hint="eastAsia"/>
          <w:color w:val="000000"/>
        </w:rPr>
        <w:t>数智化管理的实施为项目管理和各类专项咨询服务提供技术支撑。</w:t>
      </w:r>
    </w:p>
    <w:p w14:paraId="1EC75D9E">
      <w:pPr>
        <w:pStyle w:val="57"/>
        <w:rPr>
          <w:color w:val="000000"/>
        </w:rPr>
      </w:pPr>
      <w:r>
        <w:rPr>
          <w:rFonts w:hint="eastAsia"/>
          <w:color w:val="000000"/>
        </w:rPr>
        <w:t>数智化管理的主要内容包括：</w:t>
      </w:r>
    </w:p>
    <w:p w14:paraId="393F0802">
      <w:pPr>
        <w:pStyle w:val="65"/>
        <w:numPr>
          <w:ilvl w:val="0"/>
          <w:numId w:val="51"/>
        </w:numPr>
        <w:rPr>
          <w:color w:val="000000"/>
        </w:rPr>
      </w:pPr>
      <w:r>
        <w:rPr>
          <w:rFonts w:hint="eastAsia"/>
          <w:color w:val="000000"/>
        </w:rPr>
        <w:t>数智化管理平台建设；</w:t>
      </w:r>
    </w:p>
    <w:p w14:paraId="55130591">
      <w:pPr>
        <w:pStyle w:val="65"/>
        <w:numPr>
          <w:ilvl w:val="0"/>
          <w:numId w:val="3"/>
        </w:numPr>
        <w:tabs>
          <w:tab w:val="clear" w:pos="851"/>
        </w:tabs>
        <w:rPr>
          <w:rFonts w:hint="eastAsia"/>
          <w:color w:val="000000"/>
        </w:rPr>
      </w:pPr>
      <w:r>
        <w:rPr>
          <w:rFonts w:hint="eastAsia"/>
          <w:color w:val="000000"/>
        </w:rPr>
        <w:t>施工过程智能管控；</w:t>
      </w:r>
    </w:p>
    <w:p w14:paraId="25F6DBEF">
      <w:pPr>
        <w:pStyle w:val="65"/>
        <w:numPr>
          <w:ilvl w:val="0"/>
          <w:numId w:val="3"/>
        </w:numPr>
        <w:tabs>
          <w:tab w:val="clear" w:pos="851"/>
        </w:tabs>
        <w:rPr>
          <w:color w:val="000000"/>
        </w:rPr>
      </w:pPr>
      <w:r>
        <w:rPr>
          <w:rFonts w:hint="eastAsia"/>
          <w:color w:val="000000"/>
        </w:rPr>
        <w:t>数智化资产管理；</w:t>
      </w:r>
    </w:p>
    <w:p w14:paraId="4E00F4E4">
      <w:pPr>
        <w:pStyle w:val="65"/>
        <w:numPr>
          <w:ilvl w:val="0"/>
          <w:numId w:val="3"/>
        </w:numPr>
        <w:tabs>
          <w:tab w:val="clear" w:pos="851"/>
        </w:tabs>
        <w:rPr>
          <w:color w:val="000000"/>
        </w:rPr>
      </w:pPr>
      <w:r>
        <w:rPr>
          <w:rFonts w:hint="eastAsia"/>
          <w:color w:val="000000"/>
        </w:rPr>
        <w:t>数智化安全管理。</w:t>
      </w:r>
    </w:p>
    <w:p w14:paraId="556A3418">
      <w:pPr>
        <w:pStyle w:val="57"/>
        <w:rPr>
          <w:color w:val="000000"/>
        </w:rPr>
      </w:pPr>
      <w:r>
        <w:rPr>
          <w:rFonts w:hint="eastAsia"/>
          <w:color w:val="000000"/>
        </w:rPr>
        <w:t>数智化技术应用可采用以下方式：</w:t>
      </w:r>
    </w:p>
    <w:p w14:paraId="310D4A58">
      <w:pPr>
        <w:pStyle w:val="65"/>
        <w:numPr>
          <w:ilvl w:val="0"/>
          <w:numId w:val="52"/>
        </w:numPr>
        <w:rPr>
          <w:color w:val="000000"/>
        </w:rPr>
      </w:pPr>
      <w:r>
        <w:rPr>
          <w:rFonts w:hint="eastAsia"/>
          <w:color w:val="000000"/>
        </w:rPr>
        <w:t>对</w:t>
      </w:r>
      <w:r>
        <w:rPr>
          <w:color w:val="000000"/>
        </w:rPr>
        <w:t>光伏方阵</w:t>
      </w:r>
      <w:r>
        <w:rPr>
          <w:rFonts w:hint="eastAsia"/>
          <w:color w:val="000000"/>
        </w:rPr>
        <w:t>进行</w:t>
      </w:r>
      <w:r>
        <w:rPr>
          <w:color w:val="000000"/>
        </w:rPr>
        <w:t>数字化监测</w:t>
      </w:r>
      <w:r>
        <w:rPr>
          <w:rFonts w:hint="eastAsia"/>
          <w:color w:val="000000"/>
        </w:rPr>
        <w:t>，</w:t>
      </w:r>
      <w:r>
        <w:rPr>
          <w:color w:val="000000"/>
        </w:rPr>
        <w:t>在组件串、汇流箱、逆变器安装传感器，实时监测发电量、温度、电流、电压，异常时自动报警</w:t>
      </w:r>
      <w:r>
        <w:rPr>
          <w:rFonts w:hint="eastAsia"/>
          <w:color w:val="000000"/>
        </w:rPr>
        <w:t>；</w:t>
      </w:r>
    </w:p>
    <w:p w14:paraId="50BD506B">
      <w:pPr>
        <w:pStyle w:val="65"/>
        <w:numPr>
          <w:ilvl w:val="0"/>
          <w:numId w:val="52"/>
        </w:numPr>
        <w:rPr>
          <w:color w:val="000000"/>
        </w:rPr>
      </w:pPr>
      <w:r>
        <w:rPr>
          <w:rFonts w:hint="eastAsia"/>
          <w:color w:val="000000"/>
        </w:rPr>
        <w:t>推广BIM+GIS 协同管理，建立光伏电站 BIM 模型，关联 GIS 地形数据，可视化展示方阵布局、电缆走向、设备位置，辅助运维巡检；</w:t>
      </w:r>
    </w:p>
    <w:p w14:paraId="2436F36F">
      <w:pPr>
        <w:pStyle w:val="65"/>
        <w:numPr>
          <w:ilvl w:val="0"/>
          <w:numId w:val="52"/>
        </w:numPr>
        <w:rPr>
          <w:rFonts w:hint="eastAsia"/>
          <w:color w:val="000000"/>
        </w:rPr>
      </w:pPr>
      <w:r>
        <w:rPr>
          <w:rFonts w:hint="eastAsia"/>
          <w:color w:val="000000"/>
        </w:rPr>
        <w:t>搭建智能跟踪控制系统，基于实时辐照数据优化跟踪算法，阴天自动切换至固定角度，减少能耗，大风天气自动复位至避风角度；</w:t>
      </w:r>
    </w:p>
    <w:p w14:paraId="12019939">
      <w:pPr>
        <w:pStyle w:val="65"/>
        <w:numPr>
          <w:ilvl w:val="0"/>
          <w:numId w:val="52"/>
        </w:numPr>
        <w:rPr>
          <w:rFonts w:hint="eastAsia"/>
          <w:color w:val="000000"/>
        </w:rPr>
      </w:pPr>
      <w:r>
        <w:rPr>
          <w:rFonts w:hint="eastAsia"/>
          <w:color w:val="000000"/>
        </w:rPr>
        <w:t>搭建光储协同调度平台，根据辐照量、电价信号自动调整储能充放电策略；</w:t>
      </w:r>
    </w:p>
    <w:p w14:paraId="6A077E05">
      <w:pPr>
        <w:pStyle w:val="65"/>
        <w:numPr>
          <w:ilvl w:val="0"/>
          <w:numId w:val="52"/>
        </w:numPr>
        <w:rPr>
          <w:color w:val="000000"/>
        </w:rPr>
      </w:pPr>
      <w:r>
        <w:rPr>
          <w:rFonts w:hint="eastAsia"/>
          <w:color w:val="000000"/>
        </w:rPr>
        <w:t>定期用无人机搭载红外相机巡检组件识别隐裂、热斑；</w:t>
      </w:r>
    </w:p>
    <w:p w14:paraId="073AA822">
      <w:pPr>
        <w:pStyle w:val="65"/>
        <w:numPr>
          <w:ilvl w:val="0"/>
          <w:numId w:val="52"/>
        </w:numPr>
        <w:rPr>
          <w:color w:val="000000"/>
        </w:rPr>
      </w:pPr>
      <w:r>
        <w:rPr>
          <w:rFonts w:hint="eastAsia"/>
          <w:color w:val="000000"/>
        </w:rPr>
        <w:t>建立基于BIM的协同管理平台，进行设计方案和施工方案模拟分析、优化、审查，提升专业接口准确性，预判施工危险点和危险源；</w:t>
      </w:r>
    </w:p>
    <w:p w14:paraId="0893AB9F">
      <w:pPr>
        <w:pStyle w:val="65"/>
        <w:numPr>
          <w:ilvl w:val="0"/>
          <w:numId w:val="3"/>
        </w:numPr>
        <w:tabs>
          <w:tab w:val="clear" w:pos="851"/>
        </w:tabs>
        <w:rPr>
          <w:color w:val="000000"/>
        </w:rPr>
      </w:pPr>
      <w:r>
        <w:rPr>
          <w:rFonts w:hint="eastAsia"/>
          <w:color w:val="000000"/>
        </w:rPr>
        <w:t>推进传感器、高速移动通信、无线射频、近场通信及二维码识别等物联网技术与工程项目管理信息系统的集成、应用，在应急查找调配资源、重要设备运输及存储状态跟踪等方面，实现智能化的识别、定位、跟踪、监控和管理；</w:t>
      </w:r>
    </w:p>
    <w:p w14:paraId="0240D097">
      <w:pPr>
        <w:pStyle w:val="65"/>
        <w:numPr>
          <w:ilvl w:val="0"/>
          <w:numId w:val="3"/>
        </w:numPr>
        <w:tabs>
          <w:tab w:val="clear" w:pos="851"/>
        </w:tabs>
        <w:rPr>
          <w:color w:val="000000"/>
        </w:rPr>
      </w:pPr>
      <w:r>
        <w:rPr>
          <w:rFonts w:hint="eastAsia"/>
          <w:color w:val="000000"/>
        </w:rPr>
        <w:t>建立安全监督信息系统，应用物联网、大数据、定位服务等技术对工程机械设备、重要临时设施等安全信息进行采集和分析；</w:t>
      </w:r>
    </w:p>
    <w:p w14:paraId="4E540728">
      <w:pPr>
        <w:pStyle w:val="65"/>
        <w:numPr>
          <w:ilvl w:val="0"/>
          <w:numId w:val="3"/>
        </w:numPr>
        <w:tabs>
          <w:tab w:val="clear" w:pos="851"/>
        </w:tabs>
        <w:rPr>
          <w:color w:val="000000"/>
        </w:rPr>
      </w:pPr>
      <w:r>
        <w:rPr>
          <w:rFonts w:hint="eastAsia"/>
          <w:color w:val="000000"/>
        </w:rPr>
        <w:t>采用生物识别等技术，在工程现场施工人员管理中的应用，与工程现场施工人员职业健康安全、培训等信息联动，实现安全监管信息互联共享；</w:t>
      </w:r>
    </w:p>
    <w:p w14:paraId="14CA00CA">
      <w:pPr>
        <w:pStyle w:val="65"/>
        <w:numPr>
          <w:ilvl w:val="0"/>
          <w:numId w:val="3"/>
        </w:numPr>
        <w:tabs>
          <w:tab w:val="clear" w:pos="851"/>
        </w:tabs>
        <w:rPr>
          <w:color w:val="000000"/>
        </w:rPr>
      </w:pPr>
      <w:r>
        <w:rPr>
          <w:rFonts w:hint="eastAsia"/>
          <w:color w:val="000000"/>
        </w:rPr>
        <w:t>推广3S（遥感技术、地理信息系统、全球定位系统)技术在光伏发电工程勘察设计、站址和路径的选择优化、人员和车辆的作业定位管控上的应用；</w:t>
      </w:r>
    </w:p>
    <w:p w14:paraId="5DD9EBCF">
      <w:pPr>
        <w:pStyle w:val="65"/>
        <w:numPr>
          <w:ilvl w:val="0"/>
          <w:numId w:val="3"/>
        </w:numPr>
        <w:tabs>
          <w:tab w:val="clear" w:pos="851"/>
        </w:tabs>
        <w:rPr>
          <w:rFonts w:hint="eastAsia"/>
          <w:color w:val="000000"/>
        </w:rPr>
      </w:pPr>
      <w:r>
        <w:rPr>
          <w:rFonts w:hint="eastAsia"/>
          <w:color w:val="000000"/>
        </w:rPr>
        <w:t>开展智能机器人、智能穿戴设备、手持智能终端设备、智能监测设备、3D扫描等设备在施工过程中的应用研究。</w:t>
      </w:r>
    </w:p>
    <w:p w14:paraId="7CC19774">
      <w:pPr>
        <w:pStyle w:val="49"/>
        <w:spacing w:before="240" w:after="240"/>
        <w:rPr>
          <w:color w:val="000000"/>
          <w:highlight w:val="none"/>
        </w:rPr>
      </w:pPr>
      <w:bookmarkStart w:id="313" w:name="_Toc22137"/>
      <w:bookmarkStart w:id="314" w:name="_Toc29100"/>
      <w:r>
        <w:rPr>
          <w:rFonts w:hint="eastAsia"/>
          <w:color w:val="000000"/>
          <w:highlight w:val="none"/>
        </w:rPr>
        <w:t>绿色建造咨询</w:t>
      </w:r>
      <w:bookmarkEnd w:id="313"/>
    </w:p>
    <w:p w14:paraId="2E8B2441">
      <w:pPr>
        <w:pStyle w:val="51"/>
        <w:spacing w:before="120" w:after="120"/>
        <w:rPr>
          <w:color w:val="000000"/>
          <w:highlight w:val="none"/>
        </w:rPr>
      </w:pPr>
      <w:bookmarkStart w:id="315" w:name="_Toc878"/>
      <w:r>
        <w:rPr>
          <w:rFonts w:hint="eastAsia"/>
          <w:color w:val="000000"/>
          <w:highlight w:val="none"/>
        </w:rPr>
        <w:t>一般规定</w:t>
      </w:r>
      <w:bookmarkEnd w:id="315"/>
    </w:p>
    <w:p w14:paraId="3DAA9029">
      <w:pPr>
        <w:pStyle w:val="57"/>
        <w:rPr>
          <w:color w:val="000000"/>
          <w:highlight w:val="none"/>
        </w:rPr>
      </w:pPr>
      <w:r>
        <w:rPr>
          <w:rFonts w:hint="eastAsia"/>
          <w:color w:val="000000"/>
          <w:highlight w:val="none"/>
          <w:lang w:val="en-US" w:eastAsia="zh-CN"/>
        </w:rPr>
        <w:t>绿色建造咨询工作，应依据国家、行业、地方绿色建筑、绿色施工、新能源绿色建造相关标准及委托方需求开展，以实现项目节能、节水、节材、节地、环境保护、低碳减排、智慧建造、长效运维为核心绿色建设目标，项目绿色建造成果可依托具备资质的第三方检测、评价机构出具的专项评估报告作为认定支撑依据。</w:t>
      </w:r>
      <w:r>
        <w:rPr>
          <w:rFonts w:hint="eastAsia"/>
          <w:color w:val="000000"/>
          <w:highlight w:val="none"/>
        </w:rPr>
        <w:t xml:space="preserve"> </w:t>
      </w:r>
    </w:p>
    <w:p w14:paraId="3DB670F9">
      <w:pPr>
        <w:pStyle w:val="57"/>
        <w:rPr>
          <w:b w:val="0"/>
          <w:bCs/>
          <w:color w:val="000000"/>
          <w:highlight w:val="none"/>
        </w:rPr>
      </w:pPr>
      <w:r>
        <w:rPr>
          <w:highlight w:val="none"/>
        </w:rPr>
        <w:t>绿色建造是指在</w:t>
      </w:r>
      <w:r>
        <w:rPr>
          <w:rFonts w:hint="eastAsia"/>
          <w:highlight w:val="none"/>
        </w:rPr>
        <w:t>项目前期策划、设计、施工、竣工移交及后期运维、拆除回收全生命周期内，通过科学统筹策划、系统化绿色设计、精细化绿色施工、标准化绿色移交及数字化运维管理，实现工程建设绿色化、工业化、信息化、集约化、产业化协同发展，最终达成工程全生命周期综合成本最优、运维管理便捷高效、生态环境扰动最小、低碳效益最大化的系统性建造管理活动。</w:t>
      </w:r>
      <w:r>
        <w:rPr>
          <w:b w:val="0"/>
          <w:bCs/>
          <w:highlight w:val="none"/>
        </w:rPr>
        <w:t>。</w:t>
      </w:r>
    </w:p>
    <w:p w14:paraId="21624EDC">
      <w:pPr>
        <w:pStyle w:val="57"/>
        <w:rPr>
          <w:b w:val="0"/>
          <w:bCs/>
          <w:color w:val="000000"/>
          <w:highlight w:val="none"/>
        </w:rPr>
      </w:pPr>
      <w:r>
        <w:rPr>
          <w:rFonts w:hint="eastAsia"/>
          <w:b w:val="0"/>
          <w:bCs/>
          <w:highlight w:val="none"/>
        </w:rPr>
        <w:t>绿色建造咨询服务应全覆盖光伏发电工程建设全过程，核心包含绿色策划、绿色设计、绿色施工、绿色移交四大核心阶段，并向前衔接前期选址合规性核查、向后延伸至运维绿色管控、组件及材料循环利用专项设计，形成“策划—设计—施工—移交—运维—回收”全闭环绿色管理体系</w:t>
      </w:r>
      <w:r>
        <w:rPr>
          <w:b w:val="0"/>
          <w:bCs/>
          <w:highlight w:val="none"/>
        </w:rPr>
        <w:t>。</w:t>
      </w:r>
    </w:p>
    <w:p w14:paraId="3DC535A6">
      <w:pPr>
        <w:pStyle w:val="57"/>
        <w:rPr>
          <w:color w:val="000000"/>
          <w:highlight w:val="none"/>
        </w:rPr>
      </w:pPr>
      <w:r>
        <w:rPr>
          <w:rFonts w:hint="eastAsia"/>
          <w:highlight w:val="none"/>
        </w:rPr>
        <w:t>绿色建造水平评价应与四大实施阶段一一对应，可根据项目需求开展分阶段专项评价或全过程综合绿色评价，评价结果作为项目绿色等级认定、创优评奖、绿色工程验收、履约考核及后续项目优化改进的核心依据</w:t>
      </w:r>
      <w:r>
        <w:rPr>
          <w:highlight w:val="none"/>
        </w:rPr>
        <w:t>。</w:t>
      </w:r>
    </w:p>
    <w:p w14:paraId="45B7B15D">
      <w:pPr>
        <w:pStyle w:val="57"/>
        <w:rPr>
          <w:color w:val="000000"/>
          <w:highlight w:val="none"/>
        </w:rPr>
      </w:pPr>
      <w:r>
        <w:rPr>
          <w:rFonts w:hint="eastAsia"/>
          <w:color w:val="000000"/>
          <w:highlight w:val="none"/>
        </w:rPr>
        <w:t>绿色建造咨询应结合光伏工程地面电站、山地光伏、农光互补、渔光互补、屋顶分布式光伏、海上光伏等不同场景特点，实行因地制宜、分类施策的差异化绿色建造管控方案。</w:t>
      </w:r>
    </w:p>
    <w:p w14:paraId="1268C173">
      <w:pPr>
        <w:pStyle w:val="51"/>
        <w:spacing w:before="120" w:after="120"/>
        <w:rPr>
          <w:color w:val="000000"/>
          <w:highlight w:val="none"/>
        </w:rPr>
      </w:pPr>
      <w:bookmarkStart w:id="316" w:name="_Toc13844"/>
      <w:r>
        <w:rPr>
          <w:rFonts w:hint="eastAsia"/>
          <w:color w:val="000000"/>
          <w:highlight w:val="none"/>
        </w:rPr>
        <w:t>绿色建造咨询主要工作</w:t>
      </w:r>
      <w:bookmarkEnd w:id="316"/>
    </w:p>
    <w:p w14:paraId="72D0496E">
      <w:pPr>
        <w:pStyle w:val="57"/>
        <w:rPr>
          <w:color w:val="000000"/>
          <w:highlight w:val="none"/>
        </w:rPr>
      </w:pPr>
      <w:r>
        <w:rPr>
          <w:highlight w:val="none"/>
        </w:rPr>
        <w:t>绿色策划阶段</w:t>
      </w:r>
      <w:r>
        <w:rPr>
          <w:rFonts w:hint="eastAsia"/>
          <w:highlight w:val="none"/>
          <w:lang w:val="en-US" w:eastAsia="zh-CN"/>
        </w:rPr>
        <w:t>咨询</w:t>
      </w:r>
      <w:r>
        <w:rPr>
          <w:rFonts w:hint="eastAsia"/>
          <w:color w:val="000000"/>
        </w:rPr>
        <w:t>的主要内容包括：</w:t>
      </w:r>
    </w:p>
    <w:p w14:paraId="58B3C0E0">
      <w:pPr>
        <w:pStyle w:val="65"/>
        <w:numPr>
          <w:ilvl w:val="0"/>
          <w:numId w:val="53"/>
        </w:numPr>
        <w:tabs>
          <w:tab w:val="clear" w:pos="851"/>
        </w:tabs>
        <w:rPr>
          <w:rFonts w:hint="eastAsia" w:hAnsi="Times New Roman" w:eastAsia="宋体" w:cs="Times New Roman"/>
          <w:color w:val="000000"/>
          <w:highlight w:val="none"/>
        </w:rPr>
      </w:pPr>
      <w:r>
        <w:rPr>
          <w:rFonts w:hint="eastAsia" w:hAnsi="Times New Roman" w:eastAsia="宋体" w:cs="Times New Roman"/>
          <w:color w:val="000000"/>
          <w:highlight w:val="none"/>
        </w:rPr>
        <w:t>协助建设单位结合项目场址自然气候条件、地形地貌、水土资源、生态红线、林地耕地保护、区域社会经济、属地政策法规、新能源绿色建造标准、资源禀赋、投资成本、绿色收益及碳资产效益等综合因素，因地制宜编制项目专属绿色建造总体策划方案；</w:t>
      </w:r>
    </w:p>
    <w:p w14:paraId="2F757864">
      <w:pPr>
        <w:pStyle w:val="65"/>
        <w:numPr>
          <w:ilvl w:val="0"/>
          <w:numId w:val="53"/>
        </w:numPr>
        <w:tabs>
          <w:tab w:val="clear" w:pos="851"/>
        </w:tabs>
        <w:rPr>
          <w:rFonts w:hint="eastAsia" w:hAnsi="Times New Roman" w:eastAsia="宋体" w:cs="Times New Roman"/>
          <w:color w:val="000000"/>
          <w:highlight w:val="none"/>
        </w:rPr>
      </w:pPr>
      <w:r>
        <w:rPr>
          <w:rFonts w:hint="eastAsia" w:hAnsi="Times New Roman" w:eastAsia="宋体" w:cs="Times New Roman"/>
          <w:color w:val="000000"/>
          <w:highlight w:val="none"/>
        </w:rPr>
        <w:t>明确项目全周期绿色建造总体目标、分级指标、实施细则及各参建单位职责，统筹安全、质量、进度、投资、环保、低碳、智慧建造全要素，制定绿色化、工业化、信息化、集约化、产业化深度融合的专项实施总体方案；</w:t>
      </w:r>
    </w:p>
    <w:p w14:paraId="597254C3">
      <w:pPr>
        <w:pStyle w:val="65"/>
        <w:numPr>
          <w:ilvl w:val="0"/>
          <w:numId w:val="53"/>
        </w:numPr>
        <w:tabs>
          <w:tab w:val="clear" w:pos="851"/>
        </w:tabs>
        <w:rPr>
          <w:rFonts w:hint="eastAsia" w:hAnsi="Times New Roman" w:eastAsia="宋体" w:cs="Times New Roman"/>
          <w:color w:val="000000"/>
          <w:highlight w:val="none"/>
        </w:rPr>
      </w:pPr>
      <w:r>
        <w:rPr>
          <w:rFonts w:hint="eastAsia" w:hAnsi="Times New Roman" w:eastAsia="宋体" w:cs="Times New Roman"/>
          <w:color w:val="000000"/>
          <w:highlight w:val="none"/>
        </w:rPr>
        <w:t>确立项目节能降耗、水土保持、生态保护、扬尘噪声管控、固废减量、低碳减排、智慧运维、资源循环利用等核心管控目标，编制正式绿色策划文件；根据工程设计变更、施工调整、政策更新对策划文件动态修订、实时更新，确保全过程指导绿色建造实施。</w:t>
      </w:r>
    </w:p>
    <w:p w14:paraId="291B38CB">
      <w:pPr>
        <w:pStyle w:val="65"/>
        <w:numPr>
          <w:ilvl w:val="0"/>
          <w:numId w:val="53"/>
        </w:numPr>
        <w:tabs>
          <w:tab w:val="clear" w:pos="851"/>
        </w:tabs>
        <w:rPr>
          <w:rFonts w:hint="eastAsia" w:hAnsi="Times New Roman" w:eastAsia="宋体" w:cs="Times New Roman"/>
          <w:color w:val="000000"/>
          <w:highlight w:val="none"/>
        </w:rPr>
      </w:pPr>
      <w:r>
        <w:rPr>
          <w:rFonts w:hint="eastAsia" w:hAnsi="Times New Roman" w:eastAsia="宋体" w:cs="Times New Roman"/>
          <w:color w:val="000000"/>
          <w:highlight w:val="none"/>
        </w:rPr>
        <w:t>结合光伏项目类型，提前规避生态敏感区、基本农田、水源保护区、航道管控区、军事管控区等限制性区域，明确项目绿色建设合规底线。</w:t>
      </w:r>
    </w:p>
    <w:p w14:paraId="44A4D954">
      <w:pPr>
        <w:pStyle w:val="65"/>
        <w:numPr>
          <w:ilvl w:val="0"/>
          <w:numId w:val="53"/>
        </w:numPr>
        <w:tabs>
          <w:tab w:val="clear" w:pos="851"/>
        </w:tabs>
        <w:rPr>
          <w:rFonts w:hint="eastAsia" w:hAnsi="Times New Roman" w:eastAsia="宋体" w:cs="Times New Roman"/>
          <w:color w:val="000000"/>
          <w:highlight w:val="none"/>
        </w:rPr>
      </w:pPr>
      <w:r>
        <w:rPr>
          <w:rFonts w:hint="eastAsia" w:hAnsi="Times New Roman" w:eastAsia="宋体" w:cs="Times New Roman"/>
          <w:color w:val="000000"/>
          <w:highlight w:val="none"/>
        </w:rPr>
        <w:t>统筹规划项目节水、节电、节材、节地专项措施，提前谋划施工期环保、植被恢复、土地复垦、生态修复等长效绿色管控内容。</w:t>
      </w:r>
    </w:p>
    <w:p w14:paraId="4E8F507D">
      <w:pPr>
        <w:pStyle w:val="57"/>
        <w:rPr>
          <w:color w:val="000000"/>
          <w:highlight w:val="none"/>
        </w:rPr>
      </w:pPr>
      <w:r>
        <w:rPr>
          <w:highlight w:val="none"/>
        </w:rPr>
        <w:t>绿色</w:t>
      </w:r>
      <w:r>
        <w:rPr>
          <w:rFonts w:hint="eastAsia"/>
          <w:highlight w:val="none"/>
          <w:lang w:val="en-US" w:eastAsia="zh-CN"/>
        </w:rPr>
        <w:t>设计</w:t>
      </w:r>
      <w:r>
        <w:rPr>
          <w:highlight w:val="none"/>
        </w:rPr>
        <w:t>阶段</w:t>
      </w:r>
      <w:r>
        <w:rPr>
          <w:rFonts w:hint="eastAsia"/>
          <w:highlight w:val="none"/>
          <w:lang w:val="en-US" w:eastAsia="zh-CN"/>
        </w:rPr>
        <w:t>咨询</w:t>
      </w:r>
      <w:r>
        <w:rPr>
          <w:rFonts w:hint="eastAsia"/>
          <w:color w:val="000000"/>
        </w:rPr>
        <w:t>的主要内容包括：</w:t>
      </w:r>
    </w:p>
    <w:p w14:paraId="474312C3">
      <w:pPr>
        <w:pStyle w:val="65"/>
        <w:numPr>
          <w:ilvl w:val="0"/>
          <w:numId w:val="54"/>
        </w:numPr>
        <w:tabs>
          <w:tab w:val="clear" w:pos="851"/>
        </w:tabs>
        <w:rPr>
          <w:rFonts w:hint="eastAsia" w:hAnsi="Times New Roman" w:eastAsia="宋体" w:cs="Times New Roman"/>
          <w:color w:val="000000"/>
          <w:highlight w:val="none"/>
        </w:rPr>
      </w:pPr>
      <w:r>
        <w:rPr>
          <w:rFonts w:hint="eastAsia" w:hAnsi="Times New Roman" w:eastAsia="宋体" w:cs="Times New Roman"/>
          <w:color w:val="000000"/>
          <w:highlight w:val="none"/>
        </w:rPr>
        <w:t>协助建设单位开展绿色设计总体统筹策划，联动结构、土建、电气、运维、总图、环保、水文等多专业协同设计，统筹设计、施工、调试、运维全流程，推行光伏工程全寿命期系统化集成绿色设计，杜绝专业冲突、设计冗余与资源浪费；</w:t>
      </w:r>
    </w:p>
    <w:p w14:paraId="2072C591">
      <w:pPr>
        <w:pStyle w:val="65"/>
        <w:numPr>
          <w:ilvl w:val="0"/>
          <w:numId w:val="54"/>
        </w:numPr>
        <w:tabs>
          <w:tab w:val="clear" w:pos="851"/>
        </w:tabs>
        <w:rPr>
          <w:rFonts w:hint="eastAsia" w:hAnsi="Times New Roman" w:eastAsia="宋体" w:cs="Times New Roman"/>
          <w:color w:val="000000"/>
          <w:highlight w:val="none"/>
        </w:rPr>
      </w:pPr>
      <w:r>
        <w:rPr>
          <w:rFonts w:hint="eastAsia" w:hAnsi="Times New Roman" w:eastAsia="宋体" w:cs="Times New Roman"/>
          <w:color w:val="000000"/>
          <w:highlight w:val="none"/>
        </w:rPr>
        <w:t>对总体设计方案、设备选型方案、总图布局方案开展绿色技术专项论证，严格管控设计变更；所有设计变更需复核绿色指标、环保指标、节能指标，严禁因设计变更降低项目绿色建造标准，重大设计变更必须组织专家专项论证并形成评审意见；</w:t>
      </w:r>
    </w:p>
    <w:p w14:paraId="78652D06">
      <w:pPr>
        <w:pStyle w:val="65"/>
        <w:numPr>
          <w:ilvl w:val="0"/>
          <w:numId w:val="54"/>
        </w:numPr>
        <w:tabs>
          <w:tab w:val="clear" w:pos="851"/>
        </w:tabs>
        <w:rPr>
          <w:rFonts w:hint="eastAsia" w:hAnsi="Times New Roman" w:eastAsia="宋体" w:cs="Times New Roman"/>
          <w:color w:val="000000"/>
          <w:highlight w:val="none"/>
        </w:rPr>
      </w:pPr>
      <w:r>
        <w:rPr>
          <w:rFonts w:hint="eastAsia" w:hAnsi="Times New Roman" w:eastAsia="宋体" w:cs="Times New Roman"/>
          <w:color w:val="000000"/>
          <w:highlight w:val="none"/>
        </w:rPr>
        <w:t>坚持就地取材、就近取材原则，优先选用低碳环保、可循环、低能耗、绿色认证建材及设备；统一规范光伏组件、支架、逆变器、电缆、土建材料等核心设备与材料的设计使用年限，保障工程长效绿色运行；</w:t>
      </w:r>
    </w:p>
    <w:p w14:paraId="654066D0">
      <w:pPr>
        <w:pStyle w:val="65"/>
        <w:numPr>
          <w:ilvl w:val="0"/>
          <w:numId w:val="54"/>
        </w:numPr>
        <w:tabs>
          <w:tab w:val="clear" w:pos="851"/>
        </w:tabs>
        <w:rPr>
          <w:rFonts w:hint="eastAsia" w:hAnsi="Times New Roman" w:eastAsia="宋体" w:cs="Times New Roman"/>
          <w:color w:val="000000"/>
          <w:highlight w:val="none"/>
        </w:rPr>
      </w:pPr>
      <w:r>
        <w:rPr>
          <w:rFonts w:hint="eastAsia" w:hAnsi="Times New Roman" w:eastAsia="宋体" w:cs="Times New Roman"/>
          <w:color w:val="000000"/>
          <w:highlight w:val="none"/>
        </w:rPr>
        <w:t>严格落实建筑垃圾、工程固废源头减量设计要求，优化土建施工工艺、基础排布、场地开挖方案，最大限度减少土石方开挖、回填及弃土量，严格执行国家及地方建筑垃圾减量化、资源化、无害化相关规定。</w:t>
      </w:r>
    </w:p>
    <w:p w14:paraId="41591A47">
      <w:pPr>
        <w:pStyle w:val="65"/>
        <w:numPr>
          <w:ilvl w:val="0"/>
          <w:numId w:val="54"/>
        </w:numPr>
        <w:tabs>
          <w:tab w:val="clear" w:pos="851"/>
        </w:tabs>
        <w:rPr>
          <w:rFonts w:hint="eastAsia" w:hAnsi="Times New Roman" w:eastAsia="宋体" w:cs="Times New Roman"/>
          <w:color w:val="000000"/>
          <w:highlight w:val="none"/>
        </w:rPr>
      </w:pPr>
      <w:r>
        <w:rPr>
          <w:rFonts w:hint="eastAsia" w:hAnsi="Times New Roman" w:eastAsia="宋体" w:cs="Times New Roman"/>
          <w:color w:val="000000"/>
          <w:highlight w:val="none"/>
        </w:rPr>
        <w:t>优化场区总图布局，集约利用土地资源，合理布置阵列间距、道路、配电设施，提升土地集约化利用水平；农光、渔光互补项目需同步设计种养与发电兼容的绿色复合利用方案。</w:t>
      </w:r>
    </w:p>
    <w:p w14:paraId="1BFD0D3E">
      <w:pPr>
        <w:pStyle w:val="65"/>
        <w:numPr>
          <w:ilvl w:val="0"/>
          <w:numId w:val="54"/>
        </w:numPr>
        <w:tabs>
          <w:tab w:val="clear" w:pos="851"/>
        </w:tabs>
        <w:rPr>
          <w:rFonts w:hint="eastAsia" w:hAnsi="Times New Roman" w:eastAsia="宋体" w:cs="Times New Roman"/>
          <w:color w:val="000000"/>
          <w:highlight w:val="none"/>
        </w:rPr>
      </w:pPr>
      <w:r>
        <w:rPr>
          <w:rFonts w:hint="eastAsia" w:hAnsi="Times New Roman" w:eastAsia="宋体" w:cs="Times New Roman"/>
          <w:color w:val="000000"/>
          <w:highlight w:val="none"/>
        </w:rPr>
        <w:t>开展节能、节水、节电专项绿色设计，优化光伏系统倾角、间距、排布方案，提升光电转换效率与资源利用率；配套设计雨水回收、场地排水、水土保持、扬尘防控设施。</w:t>
      </w:r>
    </w:p>
    <w:p w14:paraId="5C15B08F">
      <w:pPr>
        <w:pStyle w:val="65"/>
        <w:numPr>
          <w:ilvl w:val="0"/>
          <w:numId w:val="54"/>
        </w:numPr>
        <w:tabs>
          <w:tab w:val="clear" w:pos="851"/>
        </w:tabs>
        <w:rPr>
          <w:rFonts w:hint="eastAsia" w:hAnsi="Times New Roman" w:eastAsia="宋体" w:cs="Times New Roman"/>
          <w:color w:val="000000"/>
          <w:highlight w:val="none"/>
        </w:rPr>
      </w:pPr>
      <w:r>
        <w:rPr>
          <w:rFonts w:hint="eastAsia" w:hAnsi="Times New Roman" w:eastAsia="宋体" w:cs="Times New Roman"/>
          <w:color w:val="000000"/>
          <w:highlight w:val="none"/>
        </w:rPr>
        <w:t>新增低碳专项设计：核算项目建设期、运营期碳排放，优化方案降低隐含碳、运营碳，适配双碳评价、绿建评价要求。</w:t>
      </w:r>
    </w:p>
    <w:p w14:paraId="23668D1F">
      <w:pPr>
        <w:pStyle w:val="57"/>
        <w:outlineLvl w:val="9"/>
        <w:rPr>
          <w:rFonts w:hAnsi="Times New Roman" w:cs="Times New Roman"/>
          <w:highlight w:val="none"/>
        </w:rPr>
      </w:pPr>
      <w:r>
        <w:rPr>
          <w:rFonts w:hAnsi="Times New Roman" w:cs="Times New Roman"/>
          <w:highlight w:val="none"/>
        </w:rPr>
        <w:t>绿色施工阶段</w:t>
      </w:r>
      <w:r>
        <w:rPr>
          <w:rFonts w:hint="eastAsia"/>
          <w:highlight w:val="none"/>
          <w:lang w:val="en-US" w:eastAsia="zh-CN"/>
        </w:rPr>
        <w:t>咨询</w:t>
      </w:r>
      <w:r>
        <w:rPr>
          <w:rFonts w:hint="eastAsia"/>
          <w:color w:val="000000"/>
        </w:rPr>
        <w:t>的主要内容包括：</w:t>
      </w:r>
    </w:p>
    <w:p w14:paraId="4876D91B">
      <w:pPr>
        <w:pStyle w:val="65"/>
        <w:numPr>
          <w:ilvl w:val="0"/>
          <w:numId w:val="55"/>
        </w:numPr>
        <w:rPr>
          <w:rFonts w:hint="eastAsia" w:hAnsi="Times New Roman" w:eastAsia="宋体" w:cs="Times New Roman"/>
          <w:color w:val="000000"/>
          <w:highlight w:val="none"/>
        </w:rPr>
      </w:pPr>
      <w:r>
        <w:rPr>
          <w:rFonts w:hint="eastAsia" w:hAnsi="Times New Roman" w:eastAsia="宋体" w:cs="Times New Roman"/>
          <w:color w:val="000000"/>
          <w:highlight w:val="none"/>
        </w:rPr>
        <w:t>依据绿色策划文件、施工图纸、场地现状及绿色建造目标，细化分解绿色施工管控指标，在图纸会审阶段梳理土建、安装、电气施工的绿色管控要点，提出建设、施工、监理、设计多方协同的绿色施工实施建议；</w:t>
      </w:r>
    </w:p>
    <w:p w14:paraId="17777511">
      <w:pPr>
        <w:pStyle w:val="65"/>
        <w:numPr>
          <w:ilvl w:val="0"/>
          <w:numId w:val="55"/>
        </w:numPr>
        <w:rPr>
          <w:rFonts w:hint="eastAsia" w:hAnsi="Times New Roman" w:eastAsia="宋体" w:cs="Times New Roman"/>
          <w:color w:val="000000"/>
          <w:highlight w:val="none"/>
        </w:rPr>
      </w:pPr>
      <w:r>
        <w:rPr>
          <w:rFonts w:hint="eastAsia" w:hAnsi="Times New Roman" w:eastAsia="宋体" w:cs="Times New Roman"/>
          <w:color w:val="000000"/>
          <w:highlight w:val="none"/>
        </w:rPr>
        <w:t>指导施工单位编制专项绿色施工方案，在施工组织设计及各专项施工方案中设置独立、完整的绿色施工章节，做到目标量化、措施细化、责任到人、可落地、可考核；</w:t>
      </w:r>
    </w:p>
    <w:p w14:paraId="20A010F6">
      <w:pPr>
        <w:pStyle w:val="65"/>
        <w:numPr>
          <w:ilvl w:val="0"/>
          <w:numId w:val="55"/>
        </w:numPr>
        <w:rPr>
          <w:rFonts w:hint="eastAsia" w:hAnsi="Times New Roman" w:eastAsia="宋体" w:cs="Times New Roman"/>
          <w:color w:val="000000"/>
          <w:highlight w:val="none"/>
        </w:rPr>
      </w:pPr>
      <w:r>
        <w:rPr>
          <w:rFonts w:hint="eastAsia" w:hAnsi="Times New Roman" w:eastAsia="宋体" w:cs="Times New Roman"/>
          <w:color w:val="000000"/>
          <w:highlight w:val="none"/>
        </w:rPr>
        <w:t>推行临建与永久设施一体化结合利用，减少临时工程重复建设；严格控制临时用地范围、占地规模，最大化节约土地资源，减少场地扰动；</w:t>
      </w:r>
    </w:p>
    <w:p w14:paraId="014C3851">
      <w:pPr>
        <w:pStyle w:val="65"/>
        <w:numPr>
          <w:ilvl w:val="0"/>
          <w:numId w:val="55"/>
        </w:numPr>
        <w:rPr>
          <w:rFonts w:hint="eastAsia" w:hAnsi="Times New Roman" w:eastAsia="宋体" w:cs="Times New Roman"/>
          <w:color w:val="000000"/>
          <w:highlight w:val="none"/>
        </w:rPr>
      </w:pPr>
      <w:r>
        <w:rPr>
          <w:rFonts w:hint="eastAsia" w:hAnsi="Times New Roman" w:eastAsia="宋体" w:cs="Times New Roman"/>
          <w:color w:val="000000"/>
          <w:highlight w:val="none"/>
        </w:rPr>
        <w:t>积极推广绿色建造新技术、新工艺、新装备、新材料，优先选用低能耗、低污染、绿色环保建材与施工设备；推行支架、构件工厂化预制、模块化装配化施工，减少现场作业污染与材料损耗；</w:t>
      </w:r>
    </w:p>
    <w:p w14:paraId="0C1ECDC2">
      <w:pPr>
        <w:pStyle w:val="65"/>
        <w:numPr>
          <w:ilvl w:val="0"/>
          <w:numId w:val="55"/>
        </w:numPr>
        <w:rPr>
          <w:rFonts w:hint="eastAsia" w:hAnsi="Times New Roman" w:eastAsia="宋体" w:cs="Times New Roman"/>
          <w:color w:val="000000"/>
          <w:highlight w:val="none"/>
        </w:rPr>
      </w:pPr>
      <w:r>
        <w:rPr>
          <w:rFonts w:hint="eastAsia" w:hAnsi="Times New Roman" w:eastAsia="宋体" w:cs="Times New Roman"/>
          <w:color w:val="000000"/>
          <w:highlight w:val="none"/>
        </w:rPr>
        <w:t>搭建施工数字化、信息化管控体系，建立建材、设备、施工机械、能耗、水耗、扬尘噪声监测动态数据库，实现施工过程能耗管控、环保管控、质量管控、进度管控精细化、数字化管理。</w:t>
      </w:r>
    </w:p>
    <w:p w14:paraId="4F2507C5">
      <w:pPr>
        <w:pStyle w:val="65"/>
        <w:numPr>
          <w:ilvl w:val="0"/>
          <w:numId w:val="55"/>
        </w:numPr>
        <w:rPr>
          <w:rFonts w:hint="eastAsia" w:hAnsi="Times New Roman" w:eastAsia="宋体" w:cs="Times New Roman"/>
          <w:color w:val="000000"/>
          <w:highlight w:val="none"/>
        </w:rPr>
      </w:pPr>
      <w:r>
        <w:rPr>
          <w:rFonts w:hint="eastAsia" w:hAnsi="Times New Roman" w:eastAsia="宋体" w:cs="Times New Roman"/>
          <w:color w:val="000000"/>
          <w:highlight w:val="none"/>
        </w:rPr>
        <w:t>严格落实施工期生态环境保护要求，做好扬尘治理、噪声管控、污水处置、固废分类回收、水土保持、植被保护，严控施工对场址生态环境的破坏</w:t>
      </w:r>
      <w:r>
        <w:rPr>
          <w:rFonts w:hint="eastAsia" w:hAnsi="Times New Roman" w:eastAsia="宋体" w:cs="Times New Roman"/>
          <w:color w:val="000000"/>
          <w:highlight w:val="none"/>
          <w:lang w:val="en-US" w:eastAsia="zh-CN"/>
        </w:rPr>
        <w:t>;</w:t>
      </w:r>
    </w:p>
    <w:p w14:paraId="1F6E03C9">
      <w:pPr>
        <w:pStyle w:val="65"/>
        <w:numPr>
          <w:ilvl w:val="0"/>
          <w:numId w:val="55"/>
        </w:numPr>
        <w:rPr>
          <w:rFonts w:hint="eastAsia" w:hAnsi="Times New Roman" w:eastAsia="宋体" w:cs="Times New Roman"/>
          <w:color w:val="000000"/>
          <w:highlight w:val="none"/>
        </w:rPr>
      </w:pPr>
      <w:r>
        <w:rPr>
          <w:rFonts w:hint="eastAsia" w:hAnsi="Times New Roman" w:eastAsia="宋体" w:cs="Times New Roman"/>
          <w:color w:val="000000"/>
          <w:highlight w:val="none"/>
        </w:rPr>
        <w:t>实行施工材料精细化管理，推行材料节约、余料回收、废料资源化利用，最大限度降低施工损耗，实现节材绿色目标。</w:t>
      </w:r>
    </w:p>
    <w:p w14:paraId="7C953229">
      <w:pPr>
        <w:pStyle w:val="65"/>
        <w:numPr>
          <w:ilvl w:val="0"/>
          <w:numId w:val="55"/>
        </w:numPr>
        <w:rPr>
          <w:rFonts w:hint="eastAsia" w:hAnsi="Times New Roman" w:eastAsia="宋体" w:cs="Times New Roman"/>
          <w:color w:val="000000"/>
          <w:highlight w:val="none"/>
        </w:rPr>
      </w:pPr>
      <w:r>
        <w:rPr>
          <w:rFonts w:hint="eastAsia" w:hAnsi="Times New Roman" w:eastAsia="宋体" w:cs="Times New Roman"/>
          <w:color w:val="000000"/>
          <w:highlight w:val="none"/>
        </w:rPr>
        <w:t>海上、山地、河湖滩涂光伏项目，针对性落实水域保护、水土保持、边坡防护、生态防破坏专项绿色施工措施。</w:t>
      </w:r>
    </w:p>
    <w:p w14:paraId="5013B42F">
      <w:pPr>
        <w:pStyle w:val="57"/>
        <w:outlineLvl w:val="9"/>
        <w:rPr>
          <w:rFonts w:hint="eastAsia" w:hAnsi="Times New Roman" w:cs="Times New Roman"/>
          <w:highlight w:val="none"/>
          <w:lang w:val="en-US" w:eastAsia="zh-CN"/>
        </w:rPr>
      </w:pPr>
      <w:r>
        <w:rPr>
          <w:rFonts w:hAnsi="Times New Roman" w:cs="Times New Roman"/>
          <w:highlight w:val="none"/>
          <w:lang w:val="en-US" w:eastAsia="zh-CN"/>
        </w:rPr>
        <w:t>绿色移交阶段</w:t>
      </w:r>
      <w:r>
        <w:rPr>
          <w:rFonts w:hint="eastAsia"/>
          <w:highlight w:val="none"/>
          <w:lang w:val="en-US" w:eastAsia="zh-CN"/>
        </w:rPr>
        <w:t>咨询</w:t>
      </w:r>
      <w:r>
        <w:rPr>
          <w:rFonts w:hint="eastAsia"/>
          <w:color w:val="000000"/>
        </w:rPr>
        <w:t>的主要内容包括：</w:t>
      </w:r>
    </w:p>
    <w:p w14:paraId="3178D9AA">
      <w:pPr>
        <w:pStyle w:val="65"/>
        <w:numPr>
          <w:ilvl w:val="0"/>
          <w:numId w:val="56"/>
        </w:numPr>
        <w:rPr>
          <w:rFonts w:hint="eastAsia" w:hAnsi="Times New Roman" w:eastAsia="宋体" w:cs="Times New Roman"/>
          <w:color w:val="000000"/>
          <w:highlight w:val="none"/>
        </w:rPr>
      </w:pPr>
      <w:r>
        <w:rPr>
          <w:rFonts w:hint="eastAsia" w:hAnsi="Times New Roman" w:eastAsia="宋体" w:cs="Times New Roman"/>
          <w:color w:val="000000"/>
          <w:highlight w:val="none"/>
        </w:rPr>
        <w:t>严格按照合同及属地生态环保要求，全面完成施工临时用地清理、场地平整、土地复垦、植被修复、水系恢复等工作，确保场区生态环境恢复达标、满足竣工验收及环保核查要求；</w:t>
      </w:r>
    </w:p>
    <w:p w14:paraId="3CB0A3AE">
      <w:pPr>
        <w:pStyle w:val="65"/>
        <w:numPr>
          <w:ilvl w:val="0"/>
          <w:numId w:val="56"/>
        </w:numPr>
        <w:rPr>
          <w:rFonts w:hint="eastAsia" w:hAnsi="Times New Roman" w:eastAsia="宋体" w:cs="Times New Roman"/>
          <w:color w:val="000000"/>
          <w:highlight w:val="none"/>
        </w:rPr>
      </w:pPr>
      <w:r>
        <w:rPr>
          <w:rFonts w:hint="eastAsia" w:hAnsi="Times New Roman" w:eastAsia="宋体" w:cs="Times New Roman"/>
          <w:color w:val="000000"/>
          <w:highlight w:val="none"/>
        </w:rPr>
        <w:t xml:space="preserve"> 完成电站本体、升压站、配套电气系统、监控系统、安防系统全项检测监测，完整移交设备说明书、操作规程、系统图纸、调试报告、试验资料、隐蔽工程资料等全套竣工技术档案，实现资料标准化归档；</w:t>
      </w:r>
    </w:p>
    <w:p w14:paraId="3851B308">
      <w:pPr>
        <w:pStyle w:val="65"/>
        <w:numPr>
          <w:ilvl w:val="0"/>
          <w:numId w:val="56"/>
        </w:numPr>
        <w:rPr>
          <w:rFonts w:hint="eastAsia" w:hAnsi="Times New Roman" w:eastAsia="宋体" w:cs="Times New Roman"/>
          <w:color w:val="000000"/>
          <w:highlight w:val="none"/>
        </w:rPr>
      </w:pPr>
      <w:r>
        <w:rPr>
          <w:rFonts w:hint="eastAsia" w:hAnsi="Times New Roman" w:eastAsia="宋体" w:cs="Times New Roman"/>
          <w:color w:val="000000"/>
          <w:highlight w:val="none"/>
        </w:rPr>
        <w:t>结合项目设备能效、系统发电效率、能耗水平、环保达标情况、土地资源利用效率、整体运营经济性，开展项目竣工阶段绿色性能综合评价；</w:t>
      </w:r>
    </w:p>
    <w:p w14:paraId="7AF4010C">
      <w:pPr>
        <w:pStyle w:val="65"/>
        <w:numPr>
          <w:ilvl w:val="0"/>
          <w:numId w:val="56"/>
        </w:numPr>
        <w:rPr>
          <w:rFonts w:hint="eastAsia" w:hAnsi="Times New Roman" w:eastAsia="宋体" w:cs="Times New Roman"/>
          <w:color w:val="000000"/>
          <w:highlight w:val="none"/>
        </w:rPr>
      </w:pPr>
      <w:r>
        <w:rPr>
          <w:rFonts w:hint="eastAsia" w:hAnsi="Times New Roman" w:eastAsia="宋体" w:cs="Times New Roman"/>
          <w:color w:val="000000"/>
          <w:highlight w:val="none"/>
        </w:rPr>
        <w:t>工程竣工验收完成后1个月内，全面梳理全过程绿色建造实施情况，完成项目绿色建造自评价工作，编制完整的自评价报告并整理全套过程支撑资料，形成闭环存档；</w:t>
      </w:r>
    </w:p>
    <w:p w14:paraId="30708B4B">
      <w:pPr>
        <w:pStyle w:val="65"/>
        <w:numPr>
          <w:ilvl w:val="0"/>
          <w:numId w:val="56"/>
        </w:numPr>
        <w:rPr>
          <w:rFonts w:hint="eastAsia" w:hAnsi="Times New Roman" w:eastAsia="宋体" w:cs="Times New Roman"/>
          <w:color w:val="000000"/>
          <w:highlight w:val="none"/>
        </w:rPr>
      </w:pPr>
      <w:r>
        <w:rPr>
          <w:rFonts w:hint="eastAsia" w:hAnsi="Times New Roman" w:eastAsia="宋体" w:cs="Times New Roman"/>
          <w:color w:val="000000"/>
          <w:highlight w:val="none"/>
          <w:lang w:val="en-US" w:eastAsia="zh-CN"/>
        </w:rPr>
        <w:t>根据创优、绿色工程评价、业主及主管部门要求，配合委托第三方具备资质的专业检测评价机构开展专项核查评估，出具正式绿色建造成果评估报告，作为项目绿色等级认定、评优、结算的正式依据；</w:t>
      </w:r>
    </w:p>
    <w:p w14:paraId="2B63D7E4">
      <w:pPr>
        <w:pStyle w:val="65"/>
        <w:numPr>
          <w:ilvl w:val="0"/>
          <w:numId w:val="56"/>
        </w:numPr>
        <w:rPr>
          <w:rFonts w:hint="eastAsia" w:hAnsi="Times New Roman" w:eastAsia="宋体" w:cs="Times New Roman"/>
          <w:color w:val="000000"/>
          <w:highlight w:val="none"/>
        </w:rPr>
      </w:pPr>
      <w:r>
        <w:rPr>
          <w:rFonts w:hint="eastAsia" w:hAnsi="Times New Roman" w:eastAsia="宋体" w:cs="Times New Roman"/>
          <w:color w:val="000000"/>
          <w:highlight w:val="none"/>
        </w:rPr>
        <w:t>严格按照实体工程移交、数字化档案移交双重标准，梳理、编制、汇总全套绿色建造专项移交资料，与主体工程竣工档案同步归档、同步移交、同步验收。</w:t>
      </w:r>
    </w:p>
    <w:p w14:paraId="3E1A79C8">
      <w:pPr>
        <w:pStyle w:val="65"/>
        <w:numPr>
          <w:ilvl w:val="0"/>
          <w:numId w:val="56"/>
        </w:numPr>
        <w:rPr>
          <w:rFonts w:hint="eastAsia" w:hAnsi="Times New Roman" w:eastAsia="宋体" w:cs="Times New Roman"/>
          <w:color w:val="000000"/>
          <w:highlight w:val="none"/>
        </w:rPr>
      </w:pPr>
      <w:r>
        <w:rPr>
          <w:rFonts w:hint="eastAsia" w:hAnsi="Times New Roman" w:eastAsia="宋体" w:cs="Times New Roman"/>
          <w:color w:val="000000"/>
          <w:highlight w:val="none"/>
        </w:rPr>
        <w:t>补充运维绿色移交内容：明确电站后期绿色运维标准、节能运维制度、设备低碳运维方案、组件回收及报废处置方案，实现建造与运维绿色衔接。</w:t>
      </w:r>
    </w:p>
    <w:p w14:paraId="3EAFC436">
      <w:pPr>
        <w:pStyle w:val="65"/>
        <w:numPr>
          <w:ilvl w:val="0"/>
          <w:numId w:val="25"/>
        </w:numPr>
        <w:rPr>
          <w:rFonts w:hint="eastAsia"/>
          <w:color w:val="000000"/>
          <w:highlight w:val="none"/>
        </w:rPr>
      </w:pPr>
      <w:bookmarkStart w:id="317" w:name="_Toc1091"/>
      <w:r>
        <w:rPr>
          <w:rFonts w:hint="eastAsia" w:hAnsi="Times New Roman" w:eastAsia="宋体" w:cs="Times New Roman"/>
          <w:color w:val="000000"/>
          <w:highlight w:val="none"/>
        </w:rPr>
        <w:t>对项目全生命周期节能、节水、节材、节地、环保、降碳、固废资源化成效进行汇总核算，形成项目绿色建造成果总结，为项目绿色金融、碳资产核算、绿电认证提供依据。</w:t>
      </w:r>
      <w:bookmarkEnd w:id="259"/>
      <w:bookmarkEnd w:id="260"/>
      <w:bookmarkEnd w:id="261"/>
      <w:bookmarkEnd w:id="262"/>
      <w:bookmarkEnd w:id="263"/>
      <w:bookmarkEnd w:id="314"/>
      <w:bookmarkEnd w:id="317"/>
    </w:p>
    <w:p w14:paraId="39D0874B">
      <w:pPr>
        <w:pStyle w:val="49"/>
        <w:spacing w:before="240" w:after="240"/>
        <w:rPr>
          <w:color w:val="000000"/>
        </w:rPr>
      </w:pPr>
      <w:bookmarkStart w:id="318" w:name="_Toc155714365"/>
      <w:bookmarkStart w:id="319" w:name="_Toc28483"/>
      <w:bookmarkStart w:id="320" w:name="_Toc155628746"/>
      <w:bookmarkStart w:id="321" w:name="_Toc155628809"/>
      <w:bookmarkStart w:id="322" w:name="_Toc155714305"/>
      <w:bookmarkStart w:id="323" w:name="_Toc19438"/>
      <w:bookmarkStart w:id="324" w:name="_Toc155604585"/>
      <w:r>
        <w:rPr>
          <w:rFonts w:hint="eastAsia"/>
          <w:color w:val="000000"/>
        </w:rPr>
        <w:t>新技术应用咨询</w:t>
      </w:r>
      <w:bookmarkEnd w:id="318"/>
      <w:bookmarkEnd w:id="319"/>
      <w:bookmarkEnd w:id="320"/>
      <w:bookmarkEnd w:id="321"/>
      <w:bookmarkEnd w:id="322"/>
      <w:bookmarkEnd w:id="323"/>
      <w:bookmarkEnd w:id="324"/>
    </w:p>
    <w:p w14:paraId="76468C87">
      <w:pPr>
        <w:pStyle w:val="51"/>
        <w:spacing w:before="120" w:after="120"/>
        <w:rPr>
          <w:color w:val="000000"/>
        </w:rPr>
      </w:pPr>
      <w:bookmarkStart w:id="325" w:name="_Toc21964"/>
      <w:bookmarkStart w:id="326" w:name="_Toc155714306"/>
      <w:bookmarkStart w:id="327" w:name="_Toc155628747"/>
      <w:bookmarkStart w:id="328" w:name="_Toc155714366"/>
      <w:bookmarkStart w:id="329" w:name="_Toc155628810"/>
      <w:bookmarkStart w:id="330" w:name="_Toc155604586"/>
      <w:bookmarkStart w:id="331" w:name="_Toc11378"/>
      <w:r>
        <w:rPr>
          <w:rFonts w:hint="eastAsia"/>
          <w:color w:val="000000"/>
        </w:rPr>
        <w:t>一般规定</w:t>
      </w:r>
      <w:bookmarkEnd w:id="325"/>
      <w:bookmarkEnd w:id="326"/>
      <w:bookmarkEnd w:id="327"/>
      <w:bookmarkEnd w:id="328"/>
      <w:bookmarkEnd w:id="329"/>
      <w:bookmarkEnd w:id="330"/>
      <w:bookmarkEnd w:id="331"/>
    </w:p>
    <w:p w14:paraId="2F0BE3B2">
      <w:pPr>
        <w:pStyle w:val="57"/>
        <w:rPr>
          <w:rFonts w:hint="eastAsia"/>
          <w:color w:val="000000"/>
        </w:rPr>
      </w:pPr>
      <w:r>
        <w:rPr>
          <w:rFonts w:hint="eastAsia"/>
          <w:color w:val="000000"/>
        </w:rPr>
        <w:t xml:space="preserve"> </w:t>
      </w:r>
      <w:commentRangeStart w:id="19"/>
      <w:r>
        <w:rPr>
          <w:rFonts w:hint="eastAsia"/>
          <w:color w:val="000000"/>
        </w:rPr>
        <w:t>本标准所称新技术，指适用于光伏发电工程，对建设质量、安全、生态环保、进度、投资等产生创新性提升作用的技术、工艺、流程、装备及材料，涵盖国家重点节能低碳技术、建筑业10项新技术、电力建设“五新”技术、光伏专用创新技术（含智能跟踪、光储协同、低碳组件等）及自主创新技术。</w:t>
      </w:r>
      <w:commentRangeEnd w:id="19"/>
      <w:r>
        <w:commentReference w:id="19"/>
      </w:r>
    </w:p>
    <w:p w14:paraId="200BF7A1">
      <w:pPr>
        <w:pStyle w:val="57"/>
        <w:rPr>
          <w:rFonts w:hint="eastAsia"/>
          <w:color w:val="000000"/>
        </w:rPr>
      </w:pPr>
      <w:r>
        <w:rPr>
          <w:rFonts w:hint="eastAsia"/>
          <w:color w:val="000000"/>
        </w:rPr>
        <w:t>新技术应用应贯穿工程建设的全过程，结合分布式、集中式、漂浮式、BIPV等场景特性，提升工程绿色低碳水平、数智化管控能力及并网稳定性。</w:t>
      </w:r>
    </w:p>
    <w:p w14:paraId="205F2C38">
      <w:pPr>
        <w:pStyle w:val="57"/>
        <w:rPr>
          <w:rFonts w:hint="eastAsia"/>
          <w:color w:val="000000"/>
        </w:rPr>
      </w:pPr>
      <w:r>
        <w:rPr>
          <w:rFonts w:hint="eastAsia"/>
          <w:color w:val="000000"/>
        </w:rPr>
        <w:t>新技术应用评价应采用量化评分与综合评估相结合的方式，重点围绕工程实体质量、光伏系统性能、碳排放双控效果、安全保障能力、智能建造水平及全生命周期经济效益开展。</w:t>
      </w:r>
    </w:p>
    <w:p w14:paraId="73BD4596">
      <w:pPr>
        <w:pStyle w:val="57"/>
        <w:rPr>
          <w:rFonts w:hint="eastAsia"/>
          <w:color w:val="000000"/>
        </w:rPr>
      </w:pPr>
      <w:r>
        <w:rPr>
          <w:rFonts w:hint="eastAsia"/>
          <w:color w:val="000000"/>
        </w:rPr>
        <w:t>新技术应用须符合光伏发电工程现行相关标准规范，涉及专利的应核实授权状态，确保合法合规使用。</w:t>
      </w:r>
    </w:p>
    <w:p w14:paraId="0A5FA7B2">
      <w:pPr>
        <w:pStyle w:val="51"/>
        <w:spacing w:before="120" w:after="120"/>
        <w:rPr>
          <w:color w:val="000000"/>
        </w:rPr>
      </w:pPr>
      <w:bookmarkStart w:id="332" w:name="_Toc155628811"/>
      <w:bookmarkStart w:id="333" w:name="_Toc155714367"/>
      <w:bookmarkStart w:id="334" w:name="_Toc155628748"/>
      <w:bookmarkStart w:id="335" w:name="_Toc29441"/>
      <w:bookmarkStart w:id="336" w:name="_Toc155714307"/>
      <w:bookmarkStart w:id="337" w:name="_Toc2636"/>
      <w:bookmarkStart w:id="338" w:name="_Toc155604587"/>
      <w:r>
        <w:rPr>
          <w:rFonts w:hint="eastAsia"/>
          <w:color w:val="000000"/>
        </w:rPr>
        <w:t>新技术应用咨询主要工作</w:t>
      </w:r>
      <w:bookmarkEnd w:id="332"/>
      <w:bookmarkEnd w:id="333"/>
      <w:bookmarkEnd w:id="334"/>
      <w:bookmarkEnd w:id="335"/>
      <w:bookmarkEnd w:id="336"/>
      <w:bookmarkEnd w:id="337"/>
      <w:bookmarkEnd w:id="338"/>
    </w:p>
    <w:p w14:paraId="6623B24C">
      <w:pPr>
        <w:pStyle w:val="57"/>
        <w:rPr>
          <w:rFonts w:hint="eastAsia"/>
          <w:color w:val="000000"/>
        </w:rPr>
      </w:pPr>
      <w:r>
        <w:rPr>
          <w:rFonts w:hint="eastAsia"/>
          <w:color w:val="000000"/>
        </w:rPr>
        <w:t>协助建设单位建立新技术应用管理体系，明确各阶段责任分工，结合项目场景，筛选适配的新技术方向。</w:t>
      </w:r>
    </w:p>
    <w:p w14:paraId="3C39359E">
      <w:pPr>
        <w:pStyle w:val="57"/>
        <w:rPr>
          <w:rFonts w:hint="eastAsia"/>
          <w:color w:val="000000"/>
        </w:rPr>
      </w:pPr>
      <w:r>
        <w:rPr>
          <w:rFonts w:hint="eastAsia"/>
          <w:color w:val="000000"/>
        </w:rPr>
        <w:t>协助建设单位编制新技术应用总体策划文件，明确技术选型标准、资源投入计划，重点论证新技术与光伏方阵布局、组件安装、并网调试、储能协同等核心环节的适配性。</w:t>
      </w:r>
    </w:p>
    <w:p w14:paraId="386DB6BF">
      <w:pPr>
        <w:pStyle w:val="57"/>
        <w:rPr>
          <w:rFonts w:hint="eastAsia"/>
          <w:color w:val="000000"/>
        </w:rPr>
      </w:pPr>
      <w:r>
        <w:rPr>
          <w:rFonts w:hint="eastAsia"/>
          <w:color w:val="000000"/>
        </w:rPr>
        <w:t>组织开展新技术应用培训，确保各参建单位相关人员掌握技术要点、操作规范及风险防控措施。</w:t>
      </w:r>
    </w:p>
    <w:p w14:paraId="464DB9D0">
      <w:pPr>
        <w:pStyle w:val="57"/>
        <w:rPr>
          <w:rFonts w:hint="eastAsia"/>
          <w:color w:val="000000"/>
        </w:rPr>
      </w:pPr>
      <w:r>
        <w:rPr>
          <w:rFonts w:hint="eastAsia"/>
          <w:color w:val="000000"/>
        </w:rPr>
        <w:t xml:space="preserve"> 协助建设单位开展新技术论证，重点评估光伏专用技术的成熟度、可靠性，识别安全、质量、投资风险并提出防控建议。</w:t>
      </w:r>
    </w:p>
    <w:p w14:paraId="2695F692">
      <w:pPr>
        <w:pStyle w:val="57"/>
        <w:rPr>
          <w:rFonts w:hint="eastAsia"/>
          <w:color w:val="000000"/>
        </w:rPr>
      </w:pPr>
      <w:r>
        <w:rPr>
          <w:rFonts w:hint="eastAsia"/>
          <w:color w:val="000000"/>
        </w:rPr>
        <w:t>指导建设单位进行自主创新成果的选题、研发及创新成果的总结工作。</w:t>
      </w:r>
    </w:p>
    <w:p w14:paraId="0A801B6E">
      <w:pPr>
        <w:pStyle w:val="57"/>
        <w:rPr>
          <w:color w:val="000000"/>
        </w:rPr>
      </w:pPr>
      <w:r>
        <w:rPr>
          <w:rFonts w:hint="eastAsia"/>
          <w:color w:val="000000"/>
        </w:rPr>
        <w:t>按照合同委托要求进行新技术应用评价，按照项目自评、提出申请、现场评价、会议评审的程序进行，通过检查工程实体质量及相关文件，按照行业标准，以量化评分的形式，评价新技术应用对工程实体质量、性能指标、节能减排提升的效果，并网与安全等方面，量化评估新技术应用效果并出具评价报告。</w:t>
      </w:r>
    </w:p>
    <w:p w14:paraId="52874D19">
      <w:pPr>
        <w:pStyle w:val="49"/>
        <w:spacing w:before="240" w:after="240"/>
        <w:rPr>
          <w:color w:val="000000"/>
        </w:rPr>
      </w:pPr>
      <w:bookmarkStart w:id="339" w:name="_Toc6014"/>
      <w:bookmarkStart w:id="340" w:name="_Toc4775"/>
      <w:r>
        <w:rPr>
          <w:rFonts w:hint="eastAsia"/>
          <w:color w:val="000000"/>
        </w:rPr>
        <w:t>质量评价</w:t>
      </w:r>
      <w:bookmarkEnd w:id="185"/>
      <w:bookmarkEnd w:id="186"/>
      <w:bookmarkEnd w:id="187"/>
      <w:bookmarkEnd w:id="188"/>
      <w:bookmarkEnd w:id="189"/>
      <w:bookmarkEnd w:id="339"/>
      <w:bookmarkEnd w:id="340"/>
    </w:p>
    <w:p w14:paraId="547621C7">
      <w:pPr>
        <w:pStyle w:val="51"/>
        <w:spacing w:before="120" w:after="120"/>
        <w:rPr>
          <w:color w:val="000000"/>
        </w:rPr>
      </w:pPr>
      <w:bookmarkStart w:id="341" w:name="_Toc20697"/>
      <w:bookmarkStart w:id="342" w:name="_Toc155714309"/>
      <w:bookmarkStart w:id="343" w:name="_Toc155714369"/>
      <w:bookmarkStart w:id="344" w:name="_Toc155604589"/>
      <w:bookmarkStart w:id="345" w:name="_Toc19665"/>
      <w:bookmarkStart w:id="346" w:name="_Toc155628750"/>
      <w:bookmarkStart w:id="347" w:name="_Toc155628813"/>
      <w:r>
        <w:rPr>
          <w:rFonts w:hint="eastAsia"/>
          <w:color w:val="000000"/>
        </w:rPr>
        <w:t>一般规定</w:t>
      </w:r>
      <w:bookmarkEnd w:id="341"/>
      <w:bookmarkEnd w:id="342"/>
      <w:bookmarkEnd w:id="343"/>
      <w:bookmarkEnd w:id="344"/>
      <w:bookmarkEnd w:id="345"/>
      <w:bookmarkEnd w:id="346"/>
      <w:bookmarkEnd w:id="347"/>
    </w:p>
    <w:p w14:paraId="565C4CF0">
      <w:pPr>
        <w:pStyle w:val="57"/>
        <w:rPr>
          <w:rFonts w:hint="eastAsia"/>
          <w:color w:val="000000"/>
        </w:rPr>
      </w:pPr>
      <w:r>
        <w:rPr>
          <w:rFonts w:hint="eastAsia"/>
          <w:color w:val="000000"/>
        </w:rPr>
        <w:t>质量评价应对工程质量满足规范要求程度进行核查、量测、试验检验,评价内容包括建筑工程质量、安装工程质量等。</w:t>
      </w:r>
    </w:p>
    <w:p w14:paraId="07890F04">
      <w:pPr>
        <w:pStyle w:val="57"/>
        <w:rPr>
          <w:color w:val="000000"/>
        </w:rPr>
      </w:pPr>
      <w:r>
        <w:rPr>
          <w:rFonts w:hint="eastAsia"/>
          <w:color w:val="000000"/>
        </w:rPr>
        <w:t>质量评价的评价体系、评价流程、评价方法和核查内容按照行业</w:t>
      </w:r>
      <w:r>
        <w:rPr>
          <w:rFonts w:hint="eastAsia"/>
          <w:color w:val="000000"/>
          <w:lang w:val="en-US" w:eastAsia="zh-CN"/>
        </w:rPr>
        <w:t>相关</w:t>
      </w:r>
      <w:r>
        <w:rPr>
          <w:rFonts w:hint="eastAsia"/>
          <w:color w:val="000000"/>
        </w:rPr>
        <w:t>标准规定执行。</w:t>
      </w:r>
    </w:p>
    <w:p w14:paraId="2550F7F2">
      <w:pPr>
        <w:pStyle w:val="57"/>
        <w:rPr>
          <w:color w:val="000000"/>
        </w:rPr>
      </w:pPr>
      <w:r>
        <w:rPr>
          <w:rFonts w:hint="eastAsia"/>
          <w:color w:val="000000"/>
        </w:rPr>
        <w:t>质量评价应根据工程施工进度计划及现场实际情况，制定现场工程质量评价计划。</w:t>
      </w:r>
    </w:p>
    <w:p w14:paraId="7A2E538C">
      <w:pPr>
        <w:pStyle w:val="51"/>
        <w:spacing w:before="120" w:after="120"/>
        <w:rPr>
          <w:rFonts w:hint="eastAsia" w:ascii="宋体" w:hAnsi="Times New Roman" w:eastAsia="宋体" w:cs="Times New Roman"/>
          <w:color w:val="000000"/>
        </w:rPr>
      </w:pPr>
      <w:bookmarkStart w:id="348" w:name="_Toc155714370"/>
      <w:bookmarkStart w:id="349" w:name="_Toc30215"/>
      <w:bookmarkStart w:id="350" w:name="_Toc155628814"/>
      <w:bookmarkStart w:id="351" w:name="_Toc25233"/>
      <w:bookmarkStart w:id="352" w:name="_Toc155604590"/>
      <w:bookmarkStart w:id="353" w:name="_Toc155628751"/>
      <w:bookmarkStart w:id="354" w:name="_Toc155714310"/>
      <w:r>
        <w:rPr>
          <w:rFonts w:hint="eastAsia"/>
          <w:color w:val="000000"/>
        </w:rPr>
        <w:t>质量评价主要工作</w:t>
      </w:r>
      <w:bookmarkEnd w:id="348"/>
      <w:bookmarkEnd w:id="349"/>
      <w:bookmarkEnd w:id="350"/>
      <w:bookmarkEnd w:id="351"/>
      <w:bookmarkEnd w:id="352"/>
      <w:bookmarkEnd w:id="353"/>
      <w:bookmarkEnd w:id="354"/>
    </w:p>
    <w:p w14:paraId="5FE78427">
      <w:pPr>
        <w:pStyle w:val="57"/>
        <w:adjustRightInd/>
        <w:ind w:leftChars="0"/>
        <w:jc w:val="left"/>
        <w:outlineLvl w:val="9"/>
        <w:rPr>
          <w:rFonts w:hint="eastAsia" w:ascii="宋体" w:hAnsi="Times New Roman" w:eastAsia="宋体" w:cs="Times New Roman"/>
          <w:color w:val="000000"/>
          <w:kern w:val="0"/>
          <w:szCs w:val="20"/>
          <w:highlight w:val="none"/>
        </w:rPr>
      </w:pPr>
      <w:r>
        <w:rPr>
          <w:rFonts w:hint="eastAsia" w:ascii="宋体" w:hAnsi="Times New Roman" w:eastAsia="宋体" w:cs="Times New Roman"/>
          <w:color w:val="000000"/>
          <w:kern w:val="0"/>
          <w:szCs w:val="20"/>
          <w:highlight w:val="none"/>
        </w:rPr>
        <w:t>建筑工程质量</w:t>
      </w:r>
      <w:r>
        <w:rPr>
          <w:rFonts w:hint="eastAsia" w:ascii="宋体" w:hAnsi="Times New Roman" w:eastAsia="宋体" w:cs="Times New Roman"/>
          <w:color w:val="000000"/>
          <w:kern w:val="0"/>
          <w:szCs w:val="20"/>
          <w:highlight w:val="none"/>
          <w:lang w:val="en-US" w:eastAsia="zh-CN"/>
        </w:rPr>
        <w:t>评价</w:t>
      </w:r>
      <w:r>
        <w:rPr>
          <w:rFonts w:hint="eastAsia" w:ascii="宋体" w:hAnsi="Times New Roman" w:eastAsia="宋体" w:cs="Times New Roman"/>
          <w:color w:val="000000"/>
          <w:kern w:val="0"/>
          <w:szCs w:val="20"/>
          <w:highlight w:val="none"/>
        </w:rPr>
        <w:t>应符合下列要求：</w:t>
      </w:r>
    </w:p>
    <w:p w14:paraId="36CB3EFD">
      <w:pPr>
        <w:pStyle w:val="65"/>
        <w:numPr>
          <w:ilvl w:val="0"/>
          <w:numId w:val="57"/>
        </w:numPr>
        <w:tabs>
          <w:tab w:val="clear" w:pos="851"/>
        </w:tabs>
        <w:ind w:left="840" w:leftChars="200" w:hangingChars="200"/>
        <w:outlineLvl w:val="9"/>
        <w:rPr>
          <w:rFonts w:hint="eastAsia" w:ascii="宋体" w:hAnsi="Times New Roman" w:eastAsia="宋体" w:cs="Times New Roman"/>
          <w:color w:val="000000"/>
          <w:kern w:val="0"/>
          <w:szCs w:val="20"/>
          <w:highlight w:val="none"/>
        </w:rPr>
      </w:pPr>
      <w:r>
        <w:rPr>
          <w:rFonts w:hint="eastAsia" w:ascii="宋体" w:hAnsi="Times New Roman" w:eastAsia="宋体" w:cs="Times New Roman"/>
          <w:color w:val="000000"/>
          <w:kern w:val="0"/>
          <w:szCs w:val="20"/>
          <w:highlight w:val="none"/>
        </w:rPr>
        <w:t>支架基础垂直度、轴线位移、桩顶标高等</w:t>
      </w:r>
      <w:r>
        <w:rPr>
          <w:rFonts w:hint="eastAsia" w:ascii="宋体" w:hAnsi="Times New Roman" w:eastAsia="宋体" w:cs="Times New Roman"/>
          <w:color w:val="000000"/>
          <w:kern w:val="0"/>
          <w:szCs w:val="20"/>
          <w:highlight w:val="none"/>
          <w:lang w:val="en-US" w:eastAsia="zh-CN"/>
        </w:rPr>
        <w:t>数值</w:t>
      </w:r>
      <w:r>
        <w:rPr>
          <w:rFonts w:hint="eastAsia" w:ascii="宋体" w:hAnsi="Times New Roman" w:eastAsia="宋体" w:cs="Times New Roman"/>
          <w:color w:val="000000"/>
          <w:kern w:val="0"/>
          <w:highlight w:val="none"/>
        </w:rPr>
        <w:t>符合</w:t>
      </w:r>
      <w:r>
        <w:rPr>
          <w:rFonts w:hint="eastAsia" w:ascii="宋体" w:hAnsi="Times New Roman" w:eastAsia="宋体" w:cs="Times New Roman"/>
          <w:color w:val="000000"/>
          <w:kern w:val="0"/>
          <w:highlight w:val="none"/>
          <w:lang w:val="en-US" w:eastAsia="zh-CN"/>
        </w:rPr>
        <w:t>设计</w:t>
      </w:r>
      <w:r>
        <w:rPr>
          <w:rFonts w:hint="eastAsia" w:ascii="宋体" w:hAnsi="Times New Roman" w:eastAsia="宋体" w:cs="Times New Roman"/>
          <w:color w:val="000000"/>
          <w:kern w:val="0"/>
          <w:highlight w:val="none"/>
        </w:rPr>
        <w:t>要求</w:t>
      </w:r>
      <w:r>
        <w:rPr>
          <w:rFonts w:hint="eastAsia" w:ascii="宋体" w:hAnsi="Times New Roman" w:eastAsia="宋体" w:cs="Times New Roman"/>
          <w:color w:val="000000"/>
          <w:kern w:val="0"/>
          <w:highlight w:val="none"/>
          <w:lang w:val="en-US" w:eastAsia="zh-CN"/>
        </w:rPr>
        <w:t>和标准规定</w:t>
      </w:r>
      <w:r>
        <w:rPr>
          <w:rFonts w:hint="eastAsia" w:ascii="宋体" w:hAnsi="Times New Roman" w:eastAsia="宋体" w:cs="Times New Roman"/>
          <w:color w:val="000000"/>
          <w:kern w:val="0"/>
          <w:szCs w:val="20"/>
          <w:highlight w:val="none"/>
        </w:rPr>
        <w:t>；</w:t>
      </w:r>
    </w:p>
    <w:p w14:paraId="6E8978EB">
      <w:pPr>
        <w:pStyle w:val="65"/>
        <w:numPr>
          <w:ilvl w:val="0"/>
          <w:numId w:val="57"/>
        </w:numPr>
        <w:tabs>
          <w:tab w:val="clear" w:pos="851"/>
        </w:tabs>
        <w:ind w:left="840" w:leftChars="200" w:hangingChars="200"/>
        <w:outlineLvl w:val="9"/>
        <w:rPr>
          <w:rFonts w:hint="eastAsia" w:ascii="宋体" w:hAnsi="Times New Roman" w:eastAsia="宋体" w:cs="Times New Roman"/>
          <w:color w:val="000000"/>
          <w:kern w:val="0"/>
          <w:szCs w:val="20"/>
          <w:highlight w:val="none"/>
        </w:rPr>
      </w:pPr>
      <w:r>
        <w:rPr>
          <w:rFonts w:hint="eastAsia" w:ascii="宋体" w:hAnsi="Times New Roman" w:eastAsia="宋体" w:cs="Times New Roman"/>
          <w:color w:val="000000"/>
          <w:kern w:val="0"/>
          <w:szCs w:val="20"/>
          <w:highlight w:val="none"/>
        </w:rPr>
        <w:t>箱变基础结构安全、可靠、耐久，几何尺寸准确、线条顺直、表面平整、棱角方正，对拉螺栓</w:t>
      </w:r>
      <w:r>
        <w:rPr>
          <w:rFonts w:hint="eastAsia" w:ascii="宋体" w:hAnsi="Times New Roman" w:eastAsia="宋体" w:cs="Times New Roman"/>
          <w:color w:val="000000"/>
          <w:kern w:val="0"/>
          <w:szCs w:val="20"/>
          <w:highlight w:val="none"/>
          <w:lang w:eastAsia="zh-CN"/>
        </w:rPr>
        <w:t>（</w:t>
      </w:r>
      <w:r>
        <w:rPr>
          <w:rFonts w:hint="eastAsia" w:ascii="宋体" w:hAnsi="Times New Roman" w:eastAsia="宋体" w:cs="Times New Roman"/>
          <w:color w:val="000000"/>
          <w:kern w:val="0"/>
          <w:szCs w:val="20"/>
          <w:highlight w:val="none"/>
        </w:rPr>
        <w:t>片</w:t>
      </w:r>
      <w:r>
        <w:rPr>
          <w:rFonts w:hint="eastAsia" w:ascii="宋体" w:hAnsi="Times New Roman" w:eastAsia="宋体" w:cs="Times New Roman"/>
          <w:color w:val="000000"/>
          <w:kern w:val="0"/>
          <w:szCs w:val="20"/>
          <w:highlight w:val="none"/>
          <w:lang w:eastAsia="zh-CN"/>
        </w:rPr>
        <w:t>）</w:t>
      </w:r>
      <w:r>
        <w:rPr>
          <w:rFonts w:hint="eastAsia" w:ascii="宋体" w:hAnsi="Times New Roman" w:eastAsia="宋体" w:cs="Times New Roman"/>
          <w:color w:val="000000"/>
          <w:kern w:val="0"/>
          <w:szCs w:val="20"/>
          <w:highlight w:val="none"/>
        </w:rPr>
        <w:t>处理、封堵及防腐</w:t>
      </w:r>
      <w:r>
        <w:rPr>
          <w:rFonts w:hint="eastAsia" w:ascii="宋体" w:hAnsi="Times New Roman" w:eastAsia="宋体" w:cs="Times New Roman"/>
          <w:color w:val="000000"/>
          <w:kern w:val="0"/>
          <w:highlight w:val="none"/>
        </w:rPr>
        <w:t>符合</w:t>
      </w:r>
      <w:r>
        <w:rPr>
          <w:rFonts w:hint="eastAsia" w:ascii="宋体" w:hAnsi="Times New Roman" w:eastAsia="宋体" w:cs="Times New Roman"/>
          <w:color w:val="000000"/>
          <w:kern w:val="0"/>
          <w:highlight w:val="none"/>
          <w:lang w:val="en-US" w:eastAsia="zh-CN"/>
        </w:rPr>
        <w:t>设计</w:t>
      </w:r>
      <w:r>
        <w:rPr>
          <w:rFonts w:hint="eastAsia" w:ascii="宋体" w:hAnsi="Times New Roman" w:eastAsia="宋体" w:cs="Times New Roman"/>
          <w:color w:val="000000"/>
          <w:kern w:val="0"/>
          <w:highlight w:val="none"/>
        </w:rPr>
        <w:t>要求</w:t>
      </w:r>
      <w:r>
        <w:rPr>
          <w:rFonts w:hint="eastAsia" w:ascii="宋体" w:hAnsi="Times New Roman" w:eastAsia="宋体" w:cs="Times New Roman"/>
          <w:color w:val="000000"/>
          <w:kern w:val="0"/>
          <w:highlight w:val="none"/>
          <w:lang w:val="en-US" w:eastAsia="zh-CN"/>
        </w:rPr>
        <w:t>和标准规定</w:t>
      </w:r>
      <w:r>
        <w:rPr>
          <w:rFonts w:hint="eastAsia" w:ascii="宋体" w:hAnsi="Times New Roman" w:eastAsia="宋体" w:cs="Times New Roman"/>
          <w:color w:val="000000"/>
          <w:kern w:val="0"/>
          <w:szCs w:val="20"/>
          <w:highlight w:val="none"/>
        </w:rPr>
        <w:t>；</w:t>
      </w:r>
    </w:p>
    <w:p w14:paraId="02ADCF23">
      <w:pPr>
        <w:pStyle w:val="65"/>
        <w:numPr>
          <w:ilvl w:val="0"/>
          <w:numId w:val="57"/>
        </w:numPr>
        <w:tabs>
          <w:tab w:val="clear" w:pos="851"/>
        </w:tabs>
        <w:ind w:left="840" w:leftChars="200" w:hangingChars="200"/>
        <w:outlineLvl w:val="9"/>
        <w:rPr>
          <w:rFonts w:hint="eastAsia" w:ascii="宋体" w:hAnsi="Times New Roman" w:eastAsia="宋体" w:cs="Times New Roman"/>
          <w:color w:val="000000"/>
          <w:kern w:val="0"/>
          <w:szCs w:val="20"/>
          <w:highlight w:val="none"/>
        </w:rPr>
      </w:pPr>
      <w:r>
        <w:rPr>
          <w:rFonts w:hint="eastAsia" w:ascii="宋体" w:hAnsi="Times New Roman" w:eastAsia="宋体" w:cs="Times New Roman"/>
          <w:color w:val="000000"/>
          <w:kern w:val="0"/>
          <w:szCs w:val="20"/>
          <w:highlight w:val="none"/>
        </w:rPr>
        <w:t>海上光伏桩基、支架防腐处理质量合格，水位变动区及以下桩身防腐措施符合</w:t>
      </w:r>
      <w:r>
        <w:rPr>
          <w:rFonts w:hint="eastAsia" w:ascii="宋体" w:hAnsi="Times New Roman" w:eastAsia="宋体" w:cs="Times New Roman"/>
          <w:color w:val="000000"/>
          <w:kern w:val="0"/>
          <w:szCs w:val="20"/>
          <w:highlight w:val="none"/>
          <w:lang w:val="en-US" w:eastAsia="zh-CN"/>
        </w:rPr>
        <w:t>设计</w:t>
      </w:r>
      <w:r>
        <w:rPr>
          <w:rFonts w:hint="eastAsia" w:ascii="宋体" w:hAnsi="Times New Roman" w:eastAsia="宋体" w:cs="Times New Roman"/>
          <w:color w:val="000000"/>
          <w:kern w:val="0"/>
          <w:szCs w:val="20"/>
          <w:highlight w:val="none"/>
        </w:rPr>
        <w:t>要求；</w:t>
      </w:r>
    </w:p>
    <w:p w14:paraId="0430BD2A">
      <w:pPr>
        <w:pStyle w:val="65"/>
        <w:numPr>
          <w:ilvl w:val="0"/>
          <w:numId w:val="57"/>
        </w:numPr>
        <w:tabs>
          <w:tab w:val="clear" w:pos="851"/>
        </w:tabs>
        <w:ind w:left="840" w:leftChars="200" w:hangingChars="200"/>
        <w:outlineLvl w:val="9"/>
        <w:rPr>
          <w:rFonts w:hint="eastAsia" w:ascii="宋体" w:hAnsi="Times New Roman" w:eastAsia="宋体" w:cs="Times New Roman"/>
          <w:color w:val="000000"/>
          <w:kern w:val="0"/>
          <w:szCs w:val="20"/>
          <w:highlight w:val="none"/>
        </w:rPr>
      </w:pPr>
      <w:r>
        <w:rPr>
          <w:rFonts w:hint="eastAsia" w:ascii="宋体" w:hAnsi="Times New Roman" w:eastAsia="宋体" w:cs="Times New Roman"/>
          <w:color w:val="000000"/>
          <w:kern w:val="0"/>
          <w:szCs w:val="20"/>
          <w:highlight w:val="none"/>
        </w:rPr>
        <w:t>漂浮式海上光伏浮体结构无裂缝、无渗漏，浮体间机械连接或柔性连接可靠，螺栓紧固力矩达标，橡胶护舷、碰垫等缓冲装置完好，各浮体单元浮力均衡，无明显倾斜，平台吃水深度符合设计要求；</w:t>
      </w:r>
    </w:p>
    <w:p w14:paraId="2070426F">
      <w:pPr>
        <w:pStyle w:val="65"/>
        <w:numPr>
          <w:ilvl w:val="0"/>
          <w:numId w:val="57"/>
        </w:numPr>
        <w:tabs>
          <w:tab w:val="clear" w:pos="851"/>
        </w:tabs>
        <w:ind w:left="840" w:leftChars="200" w:hangingChars="200"/>
        <w:outlineLvl w:val="9"/>
        <w:rPr>
          <w:rFonts w:hint="eastAsia" w:ascii="宋体" w:hAnsi="Times New Roman" w:eastAsia="宋体" w:cs="Times New Roman"/>
          <w:color w:val="000000"/>
          <w:highlight w:val="none"/>
        </w:rPr>
      </w:pPr>
      <w:r>
        <w:rPr>
          <w:rFonts w:hint="eastAsia" w:ascii="宋体" w:hAnsi="Times New Roman" w:eastAsia="宋体" w:cs="Times New Roman"/>
          <w:color w:val="000000"/>
          <w:kern w:val="0"/>
          <w:szCs w:val="20"/>
          <w:highlight w:val="none"/>
        </w:rPr>
        <w:t>漂浮式海上光伏系泊缆/链与锚具规格、长度、破断力符合设计要求，锚具（拖曳锚、桩锚等）类型与海底地质匹配，且安装到位，导缆孔、滑轮等无锐边，且防护到位，支架与浮体连接牢固，防松脱措施齐全</w:t>
      </w:r>
      <w:r>
        <w:rPr>
          <w:rFonts w:hint="eastAsia" w:ascii="宋体" w:hAnsi="Times New Roman" w:eastAsia="宋体" w:cs="Times New Roman"/>
          <w:color w:val="000000"/>
          <w:kern w:val="0"/>
          <w:szCs w:val="20"/>
          <w:highlight w:val="none"/>
          <w:lang w:eastAsia="zh-CN"/>
        </w:rPr>
        <w:t>。</w:t>
      </w:r>
    </w:p>
    <w:p w14:paraId="0B096EFB">
      <w:pPr>
        <w:pStyle w:val="57"/>
        <w:ind w:leftChars="0"/>
        <w:outlineLvl w:val="9"/>
        <w:rPr>
          <w:rFonts w:hint="eastAsia" w:ascii="宋体" w:hAnsi="Times New Roman" w:eastAsia="宋体" w:cs="Times New Roman"/>
          <w:color w:val="000000"/>
          <w:highlight w:val="none"/>
        </w:rPr>
      </w:pPr>
      <w:r>
        <w:rPr>
          <w:rFonts w:hint="eastAsia" w:ascii="宋体" w:hAnsi="Times New Roman" w:eastAsia="宋体" w:cs="Times New Roman"/>
          <w:color w:val="000000"/>
          <w:highlight w:val="none"/>
        </w:rPr>
        <w:t>安装质量</w:t>
      </w:r>
      <w:r>
        <w:rPr>
          <w:rFonts w:hint="eastAsia" w:ascii="宋体" w:hAnsi="Times New Roman" w:eastAsia="宋体" w:cs="Times New Roman"/>
          <w:color w:val="000000"/>
          <w:highlight w:val="none"/>
          <w:lang w:val="en-US" w:eastAsia="zh-CN"/>
        </w:rPr>
        <w:t>评价</w:t>
      </w:r>
      <w:r>
        <w:rPr>
          <w:rFonts w:hint="eastAsia" w:ascii="宋体" w:hAnsi="Times New Roman" w:eastAsia="宋体" w:cs="Times New Roman"/>
          <w:color w:val="000000"/>
          <w:highlight w:val="none"/>
        </w:rPr>
        <w:t>应符合下列要求：</w:t>
      </w:r>
    </w:p>
    <w:p w14:paraId="0EEFCBCA">
      <w:pPr>
        <w:pStyle w:val="65"/>
        <w:numPr>
          <w:ilvl w:val="0"/>
          <w:numId w:val="58"/>
        </w:numPr>
        <w:tabs>
          <w:tab w:val="clear" w:pos="851"/>
        </w:tabs>
        <w:adjustRightInd/>
        <w:ind w:left="840" w:leftChars="200" w:hangingChars="200"/>
        <w:outlineLvl w:val="9"/>
        <w:rPr>
          <w:rFonts w:hint="eastAsia" w:ascii="宋体" w:hAnsi="Times New Roman" w:eastAsia="宋体" w:cs="Times New Roman"/>
          <w:color w:val="000000"/>
          <w:kern w:val="0"/>
          <w:szCs w:val="20"/>
          <w:highlight w:val="none"/>
        </w:rPr>
      </w:pPr>
      <w:r>
        <w:rPr>
          <w:rFonts w:hint="eastAsia" w:ascii="宋体" w:hAnsi="Times New Roman" w:eastAsia="宋体" w:cs="Times New Roman"/>
          <w:color w:val="000000"/>
          <w:kern w:val="0"/>
          <w:szCs w:val="20"/>
          <w:highlight w:val="none"/>
        </w:rPr>
        <w:t>光伏支架与基础固定牢固可靠，焊接部位防腐处理工艺合格，支架倾斜角度偏差合格，紧固螺栓无锈蚀，规格和紧固的额定力矩符合设计要求；</w:t>
      </w:r>
    </w:p>
    <w:p w14:paraId="20953005">
      <w:pPr>
        <w:pStyle w:val="65"/>
        <w:numPr>
          <w:ilvl w:val="0"/>
          <w:numId w:val="58"/>
        </w:numPr>
        <w:tabs>
          <w:tab w:val="clear" w:pos="851"/>
        </w:tabs>
        <w:adjustRightInd/>
        <w:ind w:left="840" w:leftChars="200" w:hangingChars="200"/>
        <w:outlineLvl w:val="9"/>
        <w:rPr>
          <w:rFonts w:hint="eastAsia" w:ascii="宋体" w:hAnsi="Times New Roman" w:eastAsia="宋体" w:cs="Times New Roman"/>
          <w:color w:val="000000"/>
          <w:kern w:val="0"/>
          <w:szCs w:val="20"/>
          <w:highlight w:val="none"/>
        </w:rPr>
      </w:pPr>
      <w:r>
        <w:rPr>
          <w:rFonts w:hint="eastAsia" w:ascii="宋体" w:hAnsi="Times New Roman" w:eastAsia="宋体" w:cs="Times New Roman"/>
          <w:color w:val="000000"/>
          <w:kern w:val="0"/>
          <w:szCs w:val="20"/>
          <w:highlight w:val="none"/>
        </w:rPr>
        <w:t>光伏柔性支架构件无变形，拉索、拉杆、锚具的规格、性能符合国家现行标准的规定并满足设计要求，钢绞线拉索的夹片锚具已采取防松措施；</w:t>
      </w:r>
    </w:p>
    <w:p w14:paraId="7D2A929B">
      <w:pPr>
        <w:pStyle w:val="65"/>
        <w:numPr>
          <w:ilvl w:val="0"/>
          <w:numId w:val="58"/>
        </w:numPr>
        <w:tabs>
          <w:tab w:val="clear" w:pos="851"/>
        </w:tabs>
        <w:adjustRightInd/>
        <w:ind w:left="840" w:leftChars="200" w:hangingChars="200"/>
        <w:outlineLvl w:val="9"/>
        <w:rPr>
          <w:rFonts w:hint="eastAsia" w:ascii="宋体" w:hAnsi="Times New Roman" w:eastAsia="宋体" w:cs="Times New Roman"/>
          <w:color w:val="000000"/>
          <w:kern w:val="0"/>
          <w:szCs w:val="20"/>
          <w:highlight w:val="none"/>
        </w:rPr>
      </w:pPr>
      <w:r>
        <w:rPr>
          <w:rFonts w:hint="eastAsia" w:ascii="宋体" w:hAnsi="Times New Roman" w:eastAsia="宋体" w:cs="Times New Roman"/>
          <w:color w:val="000000"/>
          <w:kern w:val="0"/>
          <w:szCs w:val="20"/>
          <w:highlight w:val="none"/>
        </w:rPr>
        <w:t>固定可调支架、单轴自动跟踪支架、双轴自动跟踪支架调节机构灵活无卡涩，自动跟踪符合设计要求</w:t>
      </w:r>
    </w:p>
    <w:p w14:paraId="2639F78A">
      <w:pPr>
        <w:pStyle w:val="65"/>
        <w:numPr>
          <w:ilvl w:val="0"/>
          <w:numId w:val="58"/>
        </w:numPr>
        <w:tabs>
          <w:tab w:val="clear" w:pos="851"/>
        </w:tabs>
        <w:ind w:left="840" w:leftChars="200" w:hangingChars="200"/>
        <w:outlineLvl w:val="9"/>
        <w:rPr>
          <w:rFonts w:hint="eastAsia" w:ascii="宋体" w:hAnsi="Times New Roman" w:eastAsia="宋体" w:cs="Times New Roman"/>
          <w:color w:val="000000"/>
          <w:highlight w:val="none"/>
        </w:rPr>
      </w:pPr>
      <w:r>
        <w:rPr>
          <w:rFonts w:hint="eastAsia" w:ascii="宋体" w:hAnsi="Times New Roman" w:eastAsia="宋体" w:cs="Times New Roman"/>
          <w:color w:val="000000"/>
          <w:kern w:val="0"/>
          <w:szCs w:val="20"/>
          <w:highlight w:val="none"/>
        </w:rPr>
        <w:t>光伏组件完整、无磕碰及破损，表面干净清洁，无污染、无积灰，接线盒固定牢固、盒体完整、密封良好</w:t>
      </w:r>
      <w:r>
        <w:rPr>
          <w:rFonts w:hint="eastAsia" w:ascii="宋体" w:hAnsi="Times New Roman" w:eastAsia="宋体" w:cs="Times New Roman"/>
          <w:color w:val="000000"/>
          <w:kern w:val="0"/>
          <w:szCs w:val="20"/>
          <w:highlight w:val="none"/>
          <w:lang w:eastAsia="zh-CN"/>
        </w:rPr>
        <w:t>。</w:t>
      </w:r>
    </w:p>
    <w:p w14:paraId="15E580AF">
      <w:pPr>
        <w:pStyle w:val="57"/>
        <w:rPr>
          <w:color w:val="000000"/>
        </w:rPr>
      </w:pPr>
      <w:r>
        <w:rPr>
          <w:rFonts w:hint="eastAsia"/>
          <w:color w:val="000000"/>
        </w:rPr>
        <w:t>根据整体工程质量评价实际情况，编制整体工程质量评价报告，报送建设单位。</w:t>
      </w:r>
    </w:p>
    <w:p w14:paraId="30AB55EE">
      <w:pPr>
        <w:pStyle w:val="49"/>
        <w:spacing w:before="240" w:after="240"/>
        <w:rPr>
          <w:color w:val="000000"/>
        </w:rPr>
      </w:pPr>
      <w:bookmarkStart w:id="355" w:name="_Toc155628752"/>
      <w:bookmarkStart w:id="356" w:name="_Toc155604591"/>
      <w:bookmarkStart w:id="357" w:name="_Toc155714311"/>
      <w:bookmarkStart w:id="358" w:name="_Toc418"/>
      <w:bookmarkStart w:id="359" w:name="_Toc155714371"/>
      <w:bookmarkStart w:id="360" w:name="_Toc23260"/>
      <w:bookmarkStart w:id="361" w:name="_Toc155628815"/>
      <w:bookmarkStart w:id="362" w:name="_Toc155714314"/>
      <w:bookmarkStart w:id="363" w:name="_Toc155628755"/>
      <w:bookmarkStart w:id="364" w:name="_Toc155714374"/>
      <w:bookmarkStart w:id="365" w:name="_Toc155604594"/>
      <w:bookmarkStart w:id="366" w:name="_Toc155628818"/>
      <w:r>
        <w:rPr>
          <w:rFonts w:hint="eastAsia"/>
          <w:color w:val="000000"/>
        </w:rPr>
        <w:t>项目后评价</w:t>
      </w:r>
      <w:bookmarkEnd w:id="355"/>
      <w:bookmarkEnd w:id="356"/>
      <w:bookmarkEnd w:id="357"/>
      <w:bookmarkEnd w:id="358"/>
      <w:bookmarkEnd w:id="359"/>
      <w:bookmarkEnd w:id="360"/>
      <w:bookmarkEnd w:id="361"/>
    </w:p>
    <w:p w14:paraId="408CEB4B">
      <w:pPr>
        <w:pStyle w:val="51"/>
        <w:spacing w:before="120" w:after="120"/>
        <w:rPr>
          <w:color w:val="000000"/>
        </w:rPr>
      </w:pPr>
      <w:bookmarkStart w:id="367" w:name="_Toc24083"/>
      <w:bookmarkStart w:id="368" w:name="_Toc155628816"/>
      <w:bookmarkStart w:id="369" w:name="_Toc155714372"/>
      <w:bookmarkStart w:id="370" w:name="_Toc155714312"/>
      <w:bookmarkStart w:id="371" w:name="_Toc155628753"/>
      <w:bookmarkStart w:id="372" w:name="_Toc30025"/>
      <w:bookmarkStart w:id="373" w:name="_Toc155604592"/>
      <w:r>
        <w:rPr>
          <w:rFonts w:hint="eastAsia"/>
          <w:color w:val="000000"/>
        </w:rPr>
        <w:t>一般规定</w:t>
      </w:r>
      <w:bookmarkEnd w:id="367"/>
      <w:bookmarkEnd w:id="368"/>
      <w:bookmarkEnd w:id="369"/>
      <w:bookmarkEnd w:id="370"/>
      <w:bookmarkEnd w:id="371"/>
      <w:bookmarkEnd w:id="372"/>
      <w:bookmarkEnd w:id="373"/>
    </w:p>
    <w:p w14:paraId="4247B03B">
      <w:pPr>
        <w:pStyle w:val="57"/>
        <w:rPr>
          <w:color w:val="000000"/>
        </w:rPr>
      </w:pPr>
      <w:r>
        <w:rPr>
          <w:rFonts w:hint="eastAsia"/>
          <w:color w:val="000000"/>
        </w:rPr>
        <w:t>项目后评价应在工程项目建成投产且运行一定时间后开展。</w:t>
      </w:r>
    </w:p>
    <w:p w14:paraId="562C297F">
      <w:pPr>
        <w:pStyle w:val="57"/>
        <w:rPr>
          <w:color w:val="000000"/>
        </w:rPr>
      </w:pPr>
      <w:r>
        <w:rPr>
          <w:rFonts w:hint="eastAsia"/>
          <w:color w:val="000000"/>
        </w:rPr>
        <w:t>项目后评价应委托独立咨询机构承担，全过程工程咨询服务包含项目后评价专项咨询的应将项目后评价进行再委托。</w:t>
      </w:r>
    </w:p>
    <w:p w14:paraId="69785FF5">
      <w:pPr>
        <w:pStyle w:val="57"/>
        <w:rPr>
          <w:color w:val="000000"/>
        </w:rPr>
      </w:pPr>
      <w:r>
        <w:rPr>
          <w:rFonts w:hint="eastAsia"/>
          <w:color w:val="000000"/>
        </w:rPr>
        <w:t>项目后评价应采用定性和定量相结合的方法，主要包括逻辑框架法、调查法、对比法、专家打分法、综合指标体系评价法、项目成功度评价法。</w:t>
      </w:r>
    </w:p>
    <w:p w14:paraId="489DA4D5">
      <w:pPr>
        <w:pStyle w:val="51"/>
        <w:spacing w:before="120" w:after="120"/>
        <w:rPr>
          <w:color w:val="000000"/>
        </w:rPr>
      </w:pPr>
      <w:bookmarkStart w:id="374" w:name="_Toc155628754"/>
      <w:bookmarkStart w:id="375" w:name="_Toc19527"/>
      <w:bookmarkStart w:id="376" w:name="_Toc155714313"/>
      <w:bookmarkStart w:id="377" w:name="_Toc155604593"/>
      <w:bookmarkStart w:id="378" w:name="_Toc155628817"/>
      <w:bookmarkStart w:id="379" w:name="_Toc14567"/>
      <w:bookmarkStart w:id="380" w:name="_Toc155714373"/>
      <w:r>
        <w:rPr>
          <w:rFonts w:hint="eastAsia"/>
          <w:color w:val="000000"/>
        </w:rPr>
        <w:t>项目后评价主要工作</w:t>
      </w:r>
      <w:bookmarkEnd w:id="374"/>
      <w:bookmarkEnd w:id="375"/>
      <w:bookmarkEnd w:id="376"/>
      <w:bookmarkEnd w:id="377"/>
      <w:bookmarkEnd w:id="378"/>
      <w:bookmarkEnd w:id="379"/>
      <w:bookmarkEnd w:id="380"/>
    </w:p>
    <w:p w14:paraId="526F74B4">
      <w:pPr>
        <w:pStyle w:val="57"/>
        <w:rPr>
          <w:color w:val="000000"/>
        </w:rPr>
      </w:pPr>
      <w:r>
        <w:rPr>
          <w:rFonts w:hint="eastAsia"/>
          <w:color w:val="000000"/>
        </w:rPr>
        <w:t>项目后评价主要包括项目基础资料收集、项目调研、报告编制、评审和验收等流程。</w:t>
      </w:r>
    </w:p>
    <w:p w14:paraId="1348DB6E">
      <w:pPr>
        <w:pStyle w:val="57"/>
        <w:rPr>
          <w:color w:val="000000"/>
        </w:rPr>
      </w:pPr>
      <w:r>
        <w:rPr>
          <w:rFonts w:hint="eastAsia"/>
          <w:color w:val="000000"/>
        </w:rPr>
        <w:t>项目后评价收集的基础资料主要包括以下文件：</w:t>
      </w:r>
    </w:p>
    <w:p w14:paraId="18465259">
      <w:pPr>
        <w:pStyle w:val="65"/>
        <w:numPr>
          <w:ilvl w:val="0"/>
          <w:numId w:val="59"/>
        </w:numPr>
        <w:tabs>
          <w:tab w:val="clear" w:pos="851"/>
        </w:tabs>
        <w:rPr>
          <w:color w:val="000000"/>
        </w:rPr>
      </w:pPr>
      <w:r>
        <w:rPr>
          <w:rFonts w:hint="eastAsia"/>
          <w:color w:val="000000"/>
        </w:rPr>
        <w:t>项目审批文件，主要包括可行性研究报告、初步设计和概算、规划选址和土地预审报告、环境影响评价报告、节能评估报告、重大项目社会稳定风险评估报告、水土保持方案等相关的资料，以及相关批复文件；</w:t>
      </w:r>
    </w:p>
    <w:p w14:paraId="5C267ABE">
      <w:pPr>
        <w:pStyle w:val="65"/>
        <w:numPr>
          <w:ilvl w:val="0"/>
          <w:numId w:val="3"/>
        </w:numPr>
        <w:tabs>
          <w:tab w:val="clear" w:pos="851"/>
        </w:tabs>
        <w:rPr>
          <w:color w:val="000000"/>
        </w:rPr>
      </w:pPr>
      <w:r>
        <w:rPr>
          <w:rFonts w:hint="eastAsia"/>
          <w:color w:val="000000"/>
        </w:rPr>
        <w:t>项目实施文件，主要包括项目招投标文件、主要合同文本、投资计划、概算调整报告、施工图设计及变更文件、监理文件、竣工验收文件等相关资料，以及相关的批复文件；</w:t>
      </w:r>
    </w:p>
    <w:p w14:paraId="10850950">
      <w:pPr>
        <w:pStyle w:val="65"/>
        <w:numPr>
          <w:ilvl w:val="0"/>
          <w:numId w:val="3"/>
        </w:numPr>
        <w:tabs>
          <w:tab w:val="clear" w:pos="851"/>
        </w:tabs>
        <w:rPr>
          <w:color w:val="000000"/>
        </w:rPr>
      </w:pPr>
      <w:r>
        <w:rPr>
          <w:rFonts w:hint="eastAsia"/>
          <w:color w:val="000000"/>
        </w:rPr>
        <w:t>其他资料，主要包括项目结算和竣工财务决算报告及资料，项目运行和生产经营情况，财务报表以及其他相关资料，与项目有关的审计报告、稽查报告和统计资料等。</w:t>
      </w:r>
      <w:r>
        <w:commentReference w:id="20"/>
      </w:r>
    </w:p>
    <w:p w14:paraId="4E400945">
      <w:pPr>
        <w:pStyle w:val="57"/>
        <w:rPr>
          <w:color w:val="000000"/>
        </w:rPr>
      </w:pPr>
      <w:r>
        <w:rPr>
          <w:rFonts w:hint="eastAsia"/>
          <w:color w:val="000000"/>
        </w:rPr>
        <w:t>项目后评价报告应重点评价项目投资决策、建设时序、投入产出和投资风险等方面，主要包括以下内容：</w:t>
      </w:r>
    </w:p>
    <w:p w14:paraId="43A2EB96">
      <w:pPr>
        <w:pStyle w:val="65"/>
        <w:numPr>
          <w:ilvl w:val="0"/>
          <w:numId w:val="60"/>
        </w:numPr>
        <w:rPr>
          <w:color w:val="000000"/>
        </w:rPr>
      </w:pPr>
      <w:r>
        <w:rPr>
          <w:rFonts w:hint="eastAsia"/>
          <w:color w:val="000000"/>
        </w:rPr>
        <w:t>项目全过程回顾，主要包括前期工作回顾、准备阶段回顾、实施过程回顾、生产运营回顾等；</w:t>
      </w:r>
    </w:p>
    <w:p w14:paraId="7A2CE18A">
      <w:pPr>
        <w:pStyle w:val="65"/>
        <w:numPr>
          <w:ilvl w:val="0"/>
          <w:numId w:val="3"/>
        </w:numPr>
        <w:tabs>
          <w:tab w:val="clear" w:pos="851"/>
        </w:tabs>
        <w:rPr>
          <w:color w:val="000000"/>
        </w:rPr>
      </w:pPr>
      <w:r>
        <w:rPr>
          <w:rFonts w:hint="eastAsia"/>
          <w:color w:val="000000"/>
        </w:rPr>
        <w:t>项目实施过程评价，主要包括前期工作评价、建设准备工作评价、工程建设管理评价等；</w:t>
      </w:r>
    </w:p>
    <w:p w14:paraId="0999B023">
      <w:pPr>
        <w:pStyle w:val="65"/>
        <w:numPr>
          <w:ilvl w:val="0"/>
          <w:numId w:val="3"/>
        </w:numPr>
        <w:tabs>
          <w:tab w:val="clear" w:pos="851"/>
        </w:tabs>
        <w:rPr>
          <w:color w:val="000000"/>
        </w:rPr>
      </w:pPr>
      <w:r>
        <w:rPr>
          <w:rFonts w:hint="eastAsia"/>
          <w:color w:val="000000"/>
        </w:rPr>
        <w:t>项目运营情况和经济效益评价，主要包括技术水平评价、运营评价、经济效益评价、经营管理评价等；</w:t>
      </w:r>
    </w:p>
    <w:p w14:paraId="56543A5E">
      <w:pPr>
        <w:pStyle w:val="65"/>
        <w:numPr>
          <w:ilvl w:val="0"/>
          <w:numId w:val="3"/>
        </w:numPr>
        <w:tabs>
          <w:tab w:val="clear" w:pos="851"/>
        </w:tabs>
        <w:rPr>
          <w:color w:val="000000"/>
        </w:rPr>
      </w:pPr>
      <w:r>
        <w:rPr>
          <w:rFonts w:hint="eastAsia"/>
          <w:color w:val="000000"/>
        </w:rPr>
        <w:t>项目环境影响和社会效益评价；</w:t>
      </w:r>
    </w:p>
    <w:p w14:paraId="723991BA">
      <w:pPr>
        <w:pStyle w:val="65"/>
        <w:numPr>
          <w:ilvl w:val="0"/>
          <w:numId w:val="3"/>
        </w:numPr>
        <w:tabs>
          <w:tab w:val="clear" w:pos="851"/>
        </w:tabs>
        <w:rPr>
          <w:color w:val="000000"/>
        </w:rPr>
      </w:pPr>
      <w:r>
        <w:rPr>
          <w:rFonts w:hint="eastAsia"/>
          <w:color w:val="000000"/>
        </w:rPr>
        <w:t>项目目标实现程度和持续性评价；</w:t>
      </w:r>
    </w:p>
    <w:p w14:paraId="3364E594">
      <w:pPr>
        <w:pStyle w:val="65"/>
        <w:numPr>
          <w:ilvl w:val="0"/>
          <w:numId w:val="3"/>
        </w:numPr>
        <w:tabs>
          <w:tab w:val="clear" w:pos="851"/>
        </w:tabs>
        <w:rPr>
          <w:color w:val="000000"/>
        </w:rPr>
      </w:pPr>
      <w:r>
        <w:rPr>
          <w:rFonts w:hint="eastAsia"/>
          <w:color w:val="000000"/>
        </w:rPr>
        <w:t>评价结论应包括项目综合评价、结论和问题、经验总结、建议和措施等。</w:t>
      </w:r>
    </w:p>
    <w:p w14:paraId="4734C5D1">
      <w:pPr>
        <w:pStyle w:val="57"/>
        <w:rPr>
          <w:color w:val="000000"/>
        </w:rPr>
      </w:pPr>
      <w:r>
        <w:rPr>
          <w:rFonts w:hint="eastAsia"/>
          <w:color w:val="000000"/>
        </w:rPr>
        <w:t>应按合同约定的时间提交项目后评价报告，参加由建设单位及上级单位组织的后评价报告评审，根据评审意见修改项目后评价报告，完成项目后评价验收。</w:t>
      </w:r>
    </w:p>
    <w:p w14:paraId="2366CAAC">
      <w:pPr>
        <w:pStyle w:val="49"/>
        <w:spacing w:before="240" w:after="240"/>
        <w:rPr>
          <w:color w:val="000000"/>
        </w:rPr>
      </w:pPr>
      <w:bookmarkStart w:id="381" w:name="_Toc20005"/>
      <w:bookmarkStart w:id="382" w:name="_Toc1007"/>
      <w:r>
        <w:rPr>
          <w:rFonts w:hint="eastAsia"/>
          <w:color w:val="000000"/>
        </w:rPr>
        <w:t>其他咨询</w:t>
      </w:r>
      <w:bookmarkEnd w:id="381"/>
    </w:p>
    <w:p w14:paraId="19200FBD">
      <w:pPr>
        <w:pStyle w:val="51"/>
        <w:spacing w:before="120" w:after="120"/>
        <w:rPr>
          <w:color w:val="000000"/>
        </w:rPr>
      </w:pPr>
      <w:bookmarkStart w:id="383" w:name="_Toc31408"/>
      <w:r>
        <w:rPr>
          <w:rFonts w:hint="eastAsia"/>
          <w:color w:val="000000"/>
        </w:rPr>
        <w:t>合规性手续申办咨询</w:t>
      </w:r>
      <w:bookmarkEnd w:id="383"/>
    </w:p>
    <w:p w14:paraId="5D26FB5A">
      <w:pPr>
        <w:pStyle w:val="58"/>
        <w:spacing w:before="120" w:after="120"/>
        <w:rPr>
          <w:color w:val="000000"/>
        </w:rPr>
      </w:pPr>
      <w:r>
        <w:rPr>
          <w:rFonts w:hint="eastAsia"/>
          <w:color w:val="000000"/>
        </w:rPr>
        <w:t>一般规定</w:t>
      </w:r>
    </w:p>
    <w:p w14:paraId="44DA2D29">
      <w:pPr>
        <w:pStyle w:val="66"/>
        <w:rPr>
          <w:color w:val="000000"/>
        </w:rPr>
      </w:pPr>
      <w:r>
        <w:rPr>
          <w:rFonts w:hint="eastAsia"/>
          <w:color w:val="000000"/>
          <w:lang w:val="en-US" w:eastAsia="zh-CN"/>
        </w:rPr>
        <w:t>协助建设单位</w:t>
      </w:r>
      <w:r>
        <w:rPr>
          <w:rFonts w:hint="eastAsia"/>
          <w:color w:val="000000"/>
        </w:rPr>
        <w:t>开展各类</w:t>
      </w:r>
      <w:commentRangeStart w:id="21"/>
      <w:r>
        <w:rPr>
          <w:rFonts w:hint="eastAsia"/>
          <w:color w:val="000000"/>
        </w:rPr>
        <w:t>工程行政许可手续</w:t>
      </w:r>
      <w:commentRangeEnd w:id="21"/>
      <w:r>
        <w:commentReference w:id="21"/>
      </w:r>
      <w:r>
        <w:rPr>
          <w:rFonts w:hint="eastAsia"/>
          <w:color w:val="000000"/>
        </w:rPr>
        <w:t>办理工作</w:t>
      </w:r>
      <w:r>
        <w:rPr>
          <w:rFonts w:hint="eastAsia"/>
          <w:color w:val="000000"/>
          <w:lang w:eastAsia="zh-CN"/>
        </w:rPr>
        <w:t>，</w:t>
      </w:r>
      <w:r>
        <w:rPr>
          <w:rFonts w:hint="eastAsia"/>
          <w:color w:val="000000"/>
          <w:lang w:val="en-US" w:eastAsia="zh-CN"/>
        </w:rPr>
        <w:t>主要办理内容如表1所示</w:t>
      </w:r>
      <w:r>
        <w:rPr>
          <w:rFonts w:hint="eastAsia"/>
          <w:color w:val="000000"/>
        </w:rPr>
        <w:t>。</w:t>
      </w:r>
    </w:p>
    <w:p w14:paraId="58F0C290">
      <w:pPr>
        <w:pStyle w:val="66"/>
        <w:numPr>
          <w:ilvl w:val="0"/>
          <w:numId w:val="0"/>
        </w:numPr>
        <w:jc w:val="center"/>
        <w:rPr>
          <w:rFonts w:hint="eastAsia" w:eastAsia="宋体"/>
          <w:color w:val="000000"/>
          <w:lang w:val="en-US" w:eastAsia="zh-CN"/>
        </w:rPr>
      </w:pPr>
      <w:r>
        <w:rPr>
          <w:rFonts w:hint="eastAsia"/>
          <w:color w:val="000000"/>
          <w:lang w:val="en-US" w:eastAsia="zh-CN"/>
        </w:rPr>
        <w:t xml:space="preserve">表1 </w:t>
      </w:r>
      <w:r>
        <w:rPr>
          <w:rFonts w:hint="eastAsia"/>
          <w:color w:val="000000"/>
        </w:rPr>
        <w:t>合规性手续办理</w:t>
      </w:r>
      <w:r>
        <w:rPr>
          <w:rFonts w:hint="eastAsia"/>
          <w:color w:val="000000"/>
          <w:lang w:val="en-US" w:eastAsia="zh-CN"/>
        </w:rPr>
        <w:t>主要内容</w:t>
      </w:r>
    </w:p>
    <w:tbl>
      <w:tblPr>
        <w:tblStyle w:val="21"/>
        <w:tblW w:w="0" w:type="auto"/>
        <w:tblInd w:w="8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1783"/>
        <w:gridCol w:w="4872"/>
      </w:tblGrid>
      <w:tr w14:paraId="10E9B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645" w:type="dxa"/>
            <w:noWrap w:val="0"/>
            <w:vAlign w:val="center"/>
          </w:tcPr>
          <w:p w14:paraId="0E30DAD2">
            <w:pPr>
              <w:pStyle w:val="66"/>
              <w:keepNext w:val="0"/>
              <w:keepLines w:val="0"/>
              <w:numPr>
                <w:ilvl w:val="0"/>
                <w:numId w:val="0"/>
              </w:numPr>
              <w:suppressLineNumbers w:val="0"/>
              <w:spacing w:beforeAutospacing="0" w:afterAutospacing="0"/>
              <w:ind w:left="0" w:right="0"/>
              <w:jc w:val="center"/>
              <w:rPr>
                <w:rFonts w:hint="eastAsia" w:hAnsi="Times New Roman" w:eastAsia="宋体" w:cs="Times New Roman"/>
                <w:color w:val="000000"/>
                <w:szCs w:val="20"/>
                <w:vertAlign w:val="baseline"/>
                <w:lang w:val="en-US" w:eastAsia="zh-CN"/>
              </w:rPr>
            </w:pPr>
            <w:r>
              <w:rPr>
                <w:rFonts w:hint="eastAsia" w:hAnsi="Times New Roman" w:cs="Times New Roman"/>
                <w:color w:val="000000"/>
                <w:szCs w:val="20"/>
                <w:vertAlign w:val="baseline"/>
                <w:lang w:val="en-US" w:eastAsia="zh-CN"/>
              </w:rPr>
              <w:t>序号</w:t>
            </w:r>
          </w:p>
        </w:tc>
        <w:tc>
          <w:tcPr>
            <w:tcW w:w="1783" w:type="dxa"/>
            <w:noWrap w:val="0"/>
            <w:vAlign w:val="center"/>
          </w:tcPr>
          <w:p w14:paraId="4F6C178B">
            <w:pPr>
              <w:pStyle w:val="66"/>
              <w:keepNext w:val="0"/>
              <w:keepLines w:val="0"/>
              <w:numPr>
                <w:ilvl w:val="0"/>
                <w:numId w:val="0"/>
              </w:numPr>
              <w:suppressLineNumbers w:val="0"/>
              <w:spacing w:beforeAutospacing="0" w:afterAutospacing="0"/>
              <w:ind w:left="0" w:right="0"/>
              <w:jc w:val="center"/>
              <w:rPr>
                <w:rFonts w:hint="default" w:hAnsi="Times New Roman" w:eastAsia="宋体" w:cs="Times New Roman"/>
                <w:color w:val="000000"/>
                <w:szCs w:val="20"/>
                <w:vertAlign w:val="baseline"/>
                <w:lang w:val="en-US" w:eastAsia="zh-CN"/>
              </w:rPr>
            </w:pPr>
            <w:r>
              <w:rPr>
                <w:rFonts w:hint="eastAsia" w:hAnsi="Times New Roman" w:cs="Times New Roman"/>
                <w:color w:val="000000"/>
                <w:szCs w:val="20"/>
              </w:rPr>
              <w:t>合规性</w:t>
            </w:r>
            <w:r>
              <w:rPr>
                <w:rFonts w:hint="eastAsia" w:hAnsi="Times New Roman" w:cs="Times New Roman"/>
                <w:color w:val="000000"/>
                <w:szCs w:val="20"/>
                <w:vertAlign w:val="baseline"/>
                <w:lang w:val="en-US" w:eastAsia="zh-CN"/>
              </w:rPr>
              <w:t>手续类型</w:t>
            </w:r>
          </w:p>
        </w:tc>
        <w:tc>
          <w:tcPr>
            <w:tcW w:w="4872" w:type="dxa"/>
            <w:noWrap w:val="0"/>
            <w:vAlign w:val="center"/>
          </w:tcPr>
          <w:p w14:paraId="66EF6CEA">
            <w:pPr>
              <w:pStyle w:val="66"/>
              <w:keepNext w:val="0"/>
              <w:keepLines w:val="0"/>
              <w:numPr>
                <w:ilvl w:val="0"/>
                <w:numId w:val="0"/>
              </w:numPr>
              <w:suppressLineNumbers w:val="0"/>
              <w:spacing w:beforeAutospacing="0" w:afterAutospacing="0"/>
              <w:ind w:left="0" w:right="0"/>
              <w:jc w:val="center"/>
              <w:rPr>
                <w:rFonts w:hint="eastAsia" w:hAnsi="Times New Roman" w:eastAsia="宋体" w:cs="Times New Roman"/>
                <w:color w:val="000000"/>
                <w:szCs w:val="20"/>
                <w:vertAlign w:val="baseline"/>
                <w:lang w:val="en-US" w:eastAsia="zh-CN"/>
              </w:rPr>
            </w:pPr>
            <w:r>
              <w:rPr>
                <w:rFonts w:hint="eastAsia" w:hAnsi="Times New Roman" w:cs="Times New Roman"/>
                <w:color w:val="000000"/>
                <w:szCs w:val="20"/>
                <w:lang w:val="en-US" w:eastAsia="zh-CN"/>
              </w:rPr>
              <w:t>主要</w:t>
            </w:r>
            <w:r>
              <w:rPr>
                <w:rFonts w:hint="eastAsia" w:hAnsi="Times New Roman" w:cs="Times New Roman"/>
                <w:color w:val="000000"/>
                <w:szCs w:val="20"/>
                <w:vertAlign w:val="baseline"/>
                <w:lang w:val="en-US" w:eastAsia="zh-CN"/>
              </w:rPr>
              <w:t>内容</w:t>
            </w:r>
          </w:p>
        </w:tc>
      </w:tr>
      <w:tr w14:paraId="3DADC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noWrap w:val="0"/>
            <w:vAlign w:val="center"/>
          </w:tcPr>
          <w:p w14:paraId="6B039463">
            <w:pPr>
              <w:pStyle w:val="66"/>
              <w:keepNext w:val="0"/>
              <w:keepLines w:val="0"/>
              <w:numPr>
                <w:ilvl w:val="0"/>
                <w:numId w:val="0"/>
              </w:numPr>
              <w:suppressLineNumbers w:val="0"/>
              <w:spacing w:beforeAutospacing="0" w:afterAutospacing="0"/>
              <w:ind w:left="0" w:right="0"/>
              <w:jc w:val="center"/>
              <w:rPr>
                <w:rFonts w:hint="eastAsia" w:hAnsi="Times New Roman" w:eastAsia="宋体" w:cs="Times New Roman"/>
                <w:color w:val="000000"/>
                <w:szCs w:val="20"/>
                <w:vertAlign w:val="baseline"/>
                <w:lang w:val="en-US" w:eastAsia="zh-CN"/>
              </w:rPr>
            </w:pPr>
            <w:r>
              <w:rPr>
                <w:rFonts w:hint="eastAsia" w:hAnsi="Times New Roman" w:cs="Times New Roman"/>
                <w:color w:val="000000"/>
                <w:szCs w:val="20"/>
                <w:vertAlign w:val="baseline"/>
                <w:lang w:val="en-US" w:eastAsia="zh-CN"/>
              </w:rPr>
              <w:t>1</w:t>
            </w:r>
          </w:p>
        </w:tc>
        <w:tc>
          <w:tcPr>
            <w:tcW w:w="1783" w:type="dxa"/>
            <w:noWrap w:val="0"/>
            <w:vAlign w:val="center"/>
          </w:tcPr>
          <w:p w14:paraId="4BF9B53F">
            <w:pPr>
              <w:pStyle w:val="66"/>
              <w:keepNext w:val="0"/>
              <w:keepLines w:val="0"/>
              <w:numPr>
                <w:ilvl w:val="0"/>
                <w:numId w:val="0"/>
              </w:numPr>
              <w:suppressLineNumbers w:val="0"/>
              <w:spacing w:beforeAutospacing="0" w:afterAutospacing="0"/>
              <w:ind w:left="0" w:right="0"/>
              <w:jc w:val="center"/>
              <w:rPr>
                <w:rFonts w:hint="eastAsia" w:hAnsi="Times New Roman" w:cs="Times New Roman"/>
                <w:color w:val="000000"/>
                <w:szCs w:val="20"/>
                <w:vertAlign w:val="baseline"/>
              </w:rPr>
            </w:pPr>
            <w:r>
              <w:rPr>
                <w:rFonts w:hint="eastAsia" w:hAnsi="Times New Roman" w:cs="Times New Roman"/>
                <w:color w:val="000000"/>
                <w:szCs w:val="20"/>
              </w:rPr>
              <w:t>项目前期手续</w:t>
            </w:r>
          </w:p>
        </w:tc>
        <w:tc>
          <w:tcPr>
            <w:tcW w:w="4872" w:type="dxa"/>
            <w:noWrap w:val="0"/>
            <w:vAlign w:val="top"/>
          </w:tcPr>
          <w:p w14:paraId="5F9B2083">
            <w:pPr>
              <w:pStyle w:val="65"/>
              <w:keepNext w:val="0"/>
              <w:keepLines w:val="0"/>
              <w:widowControl w:val="0"/>
              <w:numPr>
                <w:ilvl w:val="0"/>
                <w:numId w:val="61"/>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项目备案 / 核准</w:t>
            </w:r>
            <w:r>
              <w:rPr>
                <w:rFonts w:hint="eastAsia" w:hAnsi="Times New Roman" w:cs="Times New Roman"/>
                <w:color w:val="000000"/>
                <w:szCs w:val="20"/>
                <w:lang w:eastAsia="zh-CN"/>
              </w:rPr>
              <w:t>；</w:t>
            </w:r>
          </w:p>
          <w:p w14:paraId="3169649F">
            <w:pPr>
              <w:pStyle w:val="65"/>
              <w:keepNext w:val="0"/>
              <w:keepLines w:val="0"/>
              <w:widowControl w:val="0"/>
              <w:numPr>
                <w:ilvl w:val="0"/>
                <w:numId w:val="61"/>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土地使用手续</w:t>
            </w:r>
            <w:r>
              <w:rPr>
                <w:rFonts w:hint="eastAsia" w:hAnsi="Times New Roman" w:cs="Times New Roman"/>
                <w:color w:val="000000"/>
                <w:szCs w:val="20"/>
              </w:rPr>
              <w:t>；</w:t>
            </w:r>
          </w:p>
          <w:p w14:paraId="273C7E01">
            <w:pPr>
              <w:pStyle w:val="65"/>
              <w:keepNext w:val="0"/>
              <w:keepLines w:val="0"/>
              <w:widowControl w:val="0"/>
              <w:numPr>
                <w:ilvl w:val="0"/>
                <w:numId w:val="61"/>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环境影响评价</w:t>
            </w:r>
            <w:r>
              <w:rPr>
                <w:rFonts w:hint="eastAsia" w:hAnsi="Times New Roman" w:cs="Times New Roman"/>
                <w:color w:val="000000"/>
                <w:szCs w:val="20"/>
              </w:rPr>
              <w:t>；</w:t>
            </w:r>
          </w:p>
          <w:p w14:paraId="07C598CB">
            <w:pPr>
              <w:pStyle w:val="65"/>
              <w:keepNext w:val="0"/>
              <w:keepLines w:val="0"/>
              <w:widowControl w:val="0"/>
              <w:numPr>
                <w:ilvl w:val="0"/>
                <w:numId w:val="61"/>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vertAlign w:val="baseline"/>
              </w:rPr>
            </w:pPr>
            <w:r>
              <w:rPr>
                <w:rFonts w:hint="eastAsia" w:hAnsi="Times New Roman" w:cs="Times New Roman"/>
                <w:color w:val="000000"/>
                <w:szCs w:val="20"/>
                <w:vertAlign w:val="baseline"/>
              </w:rPr>
              <w:t>压覆重要矿产资源评估</w:t>
            </w:r>
            <w:r>
              <w:rPr>
                <w:rFonts w:hint="eastAsia" w:hAnsi="Times New Roman" w:cs="Times New Roman"/>
                <w:color w:val="000000"/>
                <w:szCs w:val="20"/>
                <w:vertAlign w:val="baseline"/>
                <w:lang w:eastAsia="zh-CN"/>
              </w:rPr>
              <w:t>；</w:t>
            </w:r>
          </w:p>
          <w:p w14:paraId="337934D7">
            <w:pPr>
              <w:pStyle w:val="65"/>
              <w:keepNext w:val="0"/>
              <w:keepLines w:val="0"/>
              <w:widowControl w:val="0"/>
              <w:numPr>
                <w:ilvl w:val="0"/>
                <w:numId w:val="61"/>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vertAlign w:val="baseline"/>
              </w:rPr>
            </w:pPr>
            <w:r>
              <w:rPr>
                <w:rFonts w:hint="eastAsia" w:hAnsi="Times New Roman" w:cs="Times New Roman"/>
                <w:color w:val="000000"/>
                <w:szCs w:val="20"/>
                <w:vertAlign w:val="baseline"/>
              </w:rPr>
              <w:t>地质灾害危险性评估</w:t>
            </w:r>
            <w:r>
              <w:rPr>
                <w:rFonts w:hint="eastAsia" w:hAnsi="Times New Roman" w:cs="Times New Roman"/>
                <w:color w:val="000000"/>
                <w:szCs w:val="20"/>
                <w:vertAlign w:val="baseline"/>
                <w:lang w:eastAsia="zh-CN"/>
              </w:rPr>
              <w:t>；</w:t>
            </w:r>
          </w:p>
          <w:p w14:paraId="6B852411">
            <w:pPr>
              <w:pStyle w:val="65"/>
              <w:keepNext w:val="0"/>
              <w:keepLines w:val="0"/>
              <w:widowControl w:val="0"/>
              <w:numPr>
                <w:ilvl w:val="0"/>
                <w:numId w:val="61"/>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vertAlign w:val="baseline"/>
              </w:rPr>
            </w:pPr>
            <w:r>
              <w:rPr>
                <w:rFonts w:hint="default" w:hAnsi="Times New Roman" w:cs="Times New Roman"/>
                <w:color w:val="000000"/>
                <w:szCs w:val="20"/>
              </w:rPr>
              <w:t>电网接入系统设计审查</w:t>
            </w:r>
            <w:r>
              <w:rPr>
                <w:rFonts w:hint="eastAsia" w:hAnsi="Times New Roman" w:cs="Times New Roman"/>
                <w:color w:val="000000"/>
                <w:szCs w:val="20"/>
              </w:rPr>
              <w:t>；</w:t>
            </w:r>
          </w:p>
          <w:p w14:paraId="4FB6948F">
            <w:pPr>
              <w:pStyle w:val="65"/>
              <w:keepNext w:val="0"/>
              <w:keepLines w:val="0"/>
              <w:widowControl w:val="0"/>
              <w:numPr>
                <w:ilvl w:val="0"/>
                <w:numId w:val="61"/>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vertAlign w:val="baseline"/>
              </w:rPr>
            </w:pPr>
            <w:r>
              <w:rPr>
                <w:rFonts w:hint="default" w:hAnsi="Times New Roman" w:cs="Times New Roman"/>
                <w:color w:val="000000"/>
                <w:szCs w:val="20"/>
              </w:rPr>
              <w:t>社会稳定风险评估</w:t>
            </w:r>
            <w:r>
              <w:rPr>
                <w:rFonts w:hint="eastAsia" w:hAnsi="Times New Roman" w:cs="Times New Roman"/>
                <w:color w:val="000000"/>
                <w:szCs w:val="20"/>
              </w:rPr>
              <w:t>。</w:t>
            </w:r>
          </w:p>
        </w:tc>
      </w:tr>
      <w:tr w14:paraId="73323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noWrap w:val="0"/>
            <w:vAlign w:val="center"/>
          </w:tcPr>
          <w:p w14:paraId="20B64BAC">
            <w:pPr>
              <w:pStyle w:val="66"/>
              <w:keepNext w:val="0"/>
              <w:keepLines w:val="0"/>
              <w:numPr>
                <w:ilvl w:val="0"/>
                <w:numId w:val="0"/>
              </w:numPr>
              <w:suppressLineNumbers w:val="0"/>
              <w:spacing w:beforeAutospacing="0" w:afterAutospacing="0"/>
              <w:ind w:left="0" w:right="0"/>
              <w:jc w:val="center"/>
              <w:rPr>
                <w:rFonts w:hint="eastAsia" w:hAnsi="Times New Roman" w:eastAsia="宋体" w:cs="Times New Roman"/>
                <w:color w:val="000000"/>
                <w:szCs w:val="20"/>
                <w:vertAlign w:val="baseline"/>
                <w:lang w:val="en-US" w:eastAsia="zh-CN"/>
              </w:rPr>
            </w:pPr>
            <w:r>
              <w:rPr>
                <w:rFonts w:hint="eastAsia" w:hAnsi="Times New Roman" w:cs="Times New Roman"/>
                <w:color w:val="000000"/>
                <w:szCs w:val="20"/>
                <w:vertAlign w:val="baseline"/>
                <w:lang w:val="en-US" w:eastAsia="zh-CN"/>
              </w:rPr>
              <w:t>2</w:t>
            </w:r>
          </w:p>
        </w:tc>
        <w:tc>
          <w:tcPr>
            <w:tcW w:w="1783" w:type="dxa"/>
            <w:noWrap w:val="0"/>
            <w:vAlign w:val="center"/>
          </w:tcPr>
          <w:p w14:paraId="5C27CEB2">
            <w:pPr>
              <w:pStyle w:val="66"/>
              <w:keepNext w:val="0"/>
              <w:keepLines w:val="0"/>
              <w:numPr>
                <w:ilvl w:val="0"/>
                <w:numId w:val="0"/>
              </w:numPr>
              <w:suppressLineNumbers w:val="0"/>
              <w:spacing w:beforeAutospacing="0" w:afterAutospacing="0"/>
              <w:ind w:left="0" w:right="0"/>
              <w:jc w:val="center"/>
              <w:rPr>
                <w:rFonts w:hint="eastAsia" w:hAnsi="Times New Roman" w:cs="Times New Roman"/>
                <w:color w:val="000000"/>
                <w:szCs w:val="20"/>
                <w:vertAlign w:val="baseline"/>
              </w:rPr>
            </w:pPr>
            <w:r>
              <w:rPr>
                <w:rFonts w:hint="eastAsia" w:hAnsi="Times New Roman" w:cs="Times New Roman"/>
                <w:color w:val="000000"/>
                <w:szCs w:val="20"/>
              </w:rPr>
              <w:t>建设手续</w:t>
            </w:r>
          </w:p>
        </w:tc>
        <w:tc>
          <w:tcPr>
            <w:tcW w:w="4872" w:type="dxa"/>
            <w:noWrap w:val="0"/>
            <w:vAlign w:val="top"/>
          </w:tcPr>
          <w:p w14:paraId="35B7F0A0">
            <w:pPr>
              <w:pStyle w:val="65"/>
              <w:keepNext w:val="0"/>
              <w:keepLines w:val="0"/>
              <w:widowControl w:val="0"/>
              <w:numPr>
                <w:ilvl w:val="0"/>
                <w:numId w:val="62"/>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建设用地规划许可证</w:t>
            </w:r>
            <w:r>
              <w:rPr>
                <w:rFonts w:hint="eastAsia" w:hAnsi="Times New Roman" w:cs="Times New Roman"/>
                <w:color w:val="000000"/>
                <w:szCs w:val="20"/>
              </w:rPr>
              <w:t>；</w:t>
            </w:r>
          </w:p>
          <w:p w14:paraId="1663CB68">
            <w:pPr>
              <w:pStyle w:val="65"/>
              <w:keepNext w:val="0"/>
              <w:keepLines w:val="0"/>
              <w:widowControl w:val="0"/>
              <w:numPr>
                <w:ilvl w:val="0"/>
                <w:numId w:val="62"/>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建设工程规划许可证</w:t>
            </w:r>
            <w:r>
              <w:rPr>
                <w:rFonts w:hint="eastAsia" w:hAnsi="Times New Roman" w:cs="Times New Roman"/>
                <w:color w:val="000000"/>
                <w:szCs w:val="20"/>
              </w:rPr>
              <w:t>；</w:t>
            </w:r>
          </w:p>
          <w:p w14:paraId="51CA5320">
            <w:pPr>
              <w:pStyle w:val="65"/>
              <w:keepNext w:val="0"/>
              <w:keepLines w:val="0"/>
              <w:widowControl w:val="0"/>
              <w:numPr>
                <w:ilvl w:val="0"/>
                <w:numId w:val="62"/>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施工许可证</w:t>
            </w:r>
            <w:r>
              <w:rPr>
                <w:rFonts w:hint="eastAsia" w:hAnsi="Times New Roman" w:cs="Times New Roman"/>
                <w:color w:val="000000"/>
                <w:szCs w:val="20"/>
              </w:rPr>
              <w:t>；</w:t>
            </w:r>
          </w:p>
          <w:p w14:paraId="08946609">
            <w:pPr>
              <w:pStyle w:val="65"/>
              <w:keepNext w:val="0"/>
              <w:keepLines w:val="0"/>
              <w:widowControl w:val="0"/>
              <w:numPr>
                <w:ilvl w:val="0"/>
                <w:numId w:val="62"/>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质量监督注册手续</w:t>
            </w:r>
            <w:r>
              <w:rPr>
                <w:rFonts w:hint="eastAsia" w:hAnsi="Times New Roman" w:cs="Times New Roman"/>
                <w:color w:val="000000"/>
                <w:szCs w:val="20"/>
              </w:rPr>
              <w:t>；</w:t>
            </w:r>
          </w:p>
          <w:p w14:paraId="6F6F09D7">
            <w:pPr>
              <w:pStyle w:val="65"/>
              <w:keepNext w:val="0"/>
              <w:keepLines w:val="0"/>
              <w:widowControl w:val="0"/>
              <w:numPr>
                <w:ilvl w:val="0"/>
                <w:numId w:val="62"/>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消防</w:t>
            </w:r>
            <w:r>
              <w:rPr>
                <w:rFonts w:hint="eastAsia" w:hAnsi="Times New Roman" w:cs="Times New Roman"/>
                <w:color w:val="000000"/>
                <w:szCs w:val="20"/>
                <w:lang w:eastAsia="zh-CN"/>
              </w:rPr>
              <w:t>、</w:t>
            </w:r>
            <w:r>
              <w:rPr>
                <w:rFonts w:hint="eastAsia" w:hAnsi="Times New Roman" w:cs="Times New Roman"/>
                <w:color w:val="000000"/>
                <w:szCs w:val="20"/>
                <w:lang w:val="en-US" w:eastAsia="zh-CN"/>
              </w:rPr>
              <w:t>防雷</w:t>
            </w:r>
            <w:r>
              <w:rPr>
                <w:rFonts w:hint="default" w:hAnsi="Times New Roman" w:cs="Times New Roman"/>
                <w:color w:val="000000"/>
                <w:szCs w:val="20"/>
              </w:rPr>
              <w:t>设计审查</w:t>
            </w:r>
            <w:r>
              <w:rPr>
                <w:rFonts w:hint="eastAsia" w:hAnsi="Times New Roman" w:cs="Times New Roman"/>
                <w:color w:val="000000"/>
                <w:szCs w:val="20"/>
              </w:rPr>
              <w:t>；</w:t>
            </w:r>
          </w:p>
          <w:p w14:paraId="05677ED3">
            <w:pPr>
              <w:pStyle w:val="65"/>
              <w:keepNext w:val="0"/>
              <w:keepLines w:val="0"/>
              <w:widowControl w:val="0"/>
              <w:numPr>
                <w:ilvl w:val="0"/>
                <w:numId w:val="62"/>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水土保持方案审批</w:t>
            </w:r>
            <w:r>
              <w:rPr>
                <w:rFonts w:hint="eastAsia" w:hAnsi="Times New Roman" w:cs="Times New Roman"/>
                <w:color w:val="000000"/>
                <w:szCs w:val="20"/>
              </w:rPr>
              <w:t>；</w:t>
            </w:r>
          </w:p>
          <w:p w14:paraId="365EFD3C">
            <w:pPr>
              <w:pStyle w:val="65"/>
              <w:keepNext w:val="0"/>
              <w:keepLines w:val="0"/>
              <w:widowControl w:val="0"/>
              <w:numPr>
                <w:ilvl w:val="0"/>
                <w:numId w:val="62"/>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vertAlign w:val="baseline"/>
              </w:rPr>
            </w:pPr>
            <w:r>
              <w:rPr>
                <w:rFonts w:hint="default" w:hAnsi="Times New Roman" w:cs="Times New Roman"/>
                <w:color w:val="000000"/>
                <w:szCs w:val="20"/>
              </w:rPr>
              <w:t>文物保护</w:t>
            </w:r>
            <w:r>
              <w:rPr>
                <w:rFonts w:hint="eastAsia" w:hAnsi="Times New Roman" w:cs="Times New Roman"/>
                <w:color w:val="000000"/>
                <w:szCs w:val="20"/>
                <w:lang w:eastAsia="zh-CN"/>
              </w:rPr>
              <w:t>、</w:t>
            </w:r>
            <w:r>
              <w:rPr>
                <w:rFonts w:hint="default" w:hAnsi="Times New Roman" w:cs="Times New Roman"/>
                <w:color w:val="000000"/>
                <w:szCs w:val="20"/>
              </w:rPr>
              <w:t>林地使用</w:t>
            </w:r>
            <w:r>
              <w:rPr>
                <w:rFonts w:hint="eastAsia" w:hAnsi="Times New Roman" w:cs="Times New Roman"/>
                <w:color w:val="000000"/>
                <w:szCs w:val="20"/>
                <w:lang w:eastAsia="zh-CN"/>
              </w:rPr>
              <w:t>、</w:t>
            </w:r>
            <w:r>
              <w:rPr>
                <w:rFonts w:hint="default" w:hAnsi="Times New Roman" w:cs="Times New Roman"/>
                <w:color w:val="000000"/>
                <w:szCs w:val="20"/>
              </w:rPr>
              <w:t>草原使用</w:t>
            </w:r>
            <w:r>
              <w:rPr>
                <w:rFonts w:hint="eastAsia" w:hAnsi="Times New Roman" w:cs="Times New Roman"/>
                <w:color w:val="000000"/>
                <w:szCs w:val="20"/>
                <w:lang w:eastAsia="zh-CN"/>
              </w:rPr>
              <w:t>、</w:t>
            </w:r>
            <w:r>
              <w:rPr>
                <w:rFonts w:hint="default" w:hAnsi="Times New Roman" w:cs="Times New Roman"/>
                <w:color w:val="000000"/>
                <w:szCs w:val="20"/>
              </w:rPr>
              <w:t>军事设施保护手续</w:t>
            </w:r>
            <w:r>
              <w:rPr>
                <w:rFonts w:hint="eastAsia" w:hAnsi="Times New Roman" w:cs="Times New Roman"/>
                <w:color w:val="000000"/>
                <w:szCs w:val="20"/>
                <w:lang w:eastAsia="zh-CN"/>
              </w:rPr>
              <w:t>；</w:t>
            </w:r>
          </w:p>
          <w:p w14:paraId="4A9AB2E9">
            <w:pPr>
              <w:pStyle w:val="65"/>
              <w:keepNext w:val="0"/>
              <w:keepLines w:val="0"/>
              <w:widowControl w:val="0"/>
              <w:numPr>
                <w:ilvl w:val="0"/>
                <w:numId w:val="62"/>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vertAlign w:val="baseline"/>
              </w:rPr>
            </w:pPr>
            <w:r>
              <w:rPr>
                <w:rFonts w:hint="eastAsia" w:hAnsi="Times New Roman" w:cs="Times New Roman"/>
                <w:color w:val="000000"/>
                <w:szCs w:val="20"/>
              </w:rPr>
              <w:t>不动产权登记。</w:t>
            </w:r>
          </w:p>
        </w:tc>
      </w:tr>
      <w:tr w14:paraId="04B26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noWrap w:val="0"/>
            <w:vAlign w:val="center"/>
          </w:tcPr>
          <w:p w14:paraId="6A8B8333">
            <w:pPr>
              <w:pStyle w:val="66"/>
              <w:keepNext w:val="0"/>
              <w:keepLines w:val="0"/>
              <w:numPr>
                <w:ilvl w:val="0"/>
                <w:numId w:val="0"/>
              </w:numPr>
              <w:suppressLineNumbers w:val="0"/>
              <w:spacing w:beforeAutospacing="0" w:afterAutospacing="0"/>
              <w:ind w:left="0" w:right="0"/>
              <w:jc w:val="center"/>
              <w:rPr>
                <w:rFonts w:hint="eastAsia" w:hAnsi="Times New Roman" w:eastAsia="宋体" w:cs="Times New Roman"/>
                <w:color w:val="000000"/>
                <w:szCs w:val="20"/>
                <w:vertAlign w:val="baseline"/>
                <w:lang w:val="en-US" w:eastAsia="zh-CN"/>
              </w:rPr>
            </w:pPr>
            <w:r>
              <w:rPr>
                <w:rFonts w:hint="eastAsia" w:hAnsi="Times New Roman" w:cs="Times New Roman"/>
                <w:color w:val="000000"/>
                <w:szCs w:val="20"/>
                <w:vertAlign w:val="baseline"/>
                <w:lang w:val="en-US" w:eastAsia="zh-CN"/>
              </w:rPr>
              <w:t>3</w:t>
            </w:r>
          </w:p>
        </w:tc>
        <w:tc>
          <w:tcPr>
            <w:tcW w:w="1783" w:type="dxa"/>
            <w:noWrap w:val="0"/>
            <w:vAlign w:val="center"/>
          </w:tcPr>
          <w:p w14:paraId="32336527">
            <w:pPr>
              <w:pStyle w:val="66"/>
              <w:keepNext w:val="0"/>
              <w:keepLines w:val="0"/>
              <w:numPr>
                <w:ilvl w:val="0"/>
                <w:numId w:val="0"/>
              </w:numPr>
              <w:suppressLineNumbers w:val="0"/>
              <w:spacing w:beforeAutospacing="0" w:afterAutospacing="0"/>
              <w:ind w:left="0" w:right="0"/>
              <w:jc w:val="center"/>
              <w:rPr>
                <w:rFonts w:hint="eastAsia" w:hAnsi="Times New Roman" w:cs="Times New Roman"/>
                <w:color w:val="000000"/>
                <w:szCs w:val="20"/>
                <w:vertAlign w:val="baseline"/>
              </w:rPr>
            </w:pPr>
            <w:r>
              <w:rPr>
                <w:rFonts w:hint="eastAsia" w:hAnsi="Times New Roman" w:cs="Times New Roman"/>
                <w:color w:val="000000"/>
                <w:szCs w:val="20"/>
              </w:rPr>
              <w:t>并网手续</w:t>
            </w:r>
          </w:p>
        </w:tc>
        <w:tc>
          <w:tcPr>
            <w:tcW w:w="4872" w:type="dxa"/>
            <w:noWrap w:val="0"/>
            <w:vAlign w:val="top"/>
          </w:tcPr>
          <w:p w14:paraId="4E64B11B">
            <w:pPr>
              <w:pStyle w:val="65"/>
              <w:keepNext w:val="0"/>
              <w:keepLines w:val="0"/>
              <w:widowControl w:val="0"/>
              <w:numPr>
                <w:ilvl w:val="0"/>
                <w:numId w:val="63"/>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并网许可</w:t>
            </w:r>
            <w:r>
              <w:rPr>
                <w:rFonts w:hint="eastAsia" w:hAnsi="Times New Roman" w:cs="Times New Roman"/>
                <w:color w:val="000000"/>
                <w:szCs w:val="20"/>
              </w:rPr>
              <w:t>；</w:t>
            </w:r>
          </w:p>
          <w:p w14:paraId="79B67431">
            <w:pPr>
              <w:pStyle w:val="65"/>
              <w:keepNext w:val="0"/>
              <w:keepLines w:val="0"/>
              <w:widowControl w:val="0"/>
              <w:numPr>
                <w:ilvl w:val="0"/>
                <w:numId w:val="63"/>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电力业务许可证</w:t>
            </w:r>
            <w:r>
              <w:rPr>
                <w:rFonts w:hint="eastAsia" w:hAnsi="Times New Roman" w:cs="Times New Roman"/>
                <w:color w:val="000000"/>
                <w:szCs w:val="20"/>
              </w:rPr>
              <w:t>；</w:t>
            </w:r>
          </w:p>
          <w:p w14:paraId="6C98815B">
            <w:pPr>
              <w:pStyle w:val="65"/>
              <w:keepNext w:val="0"/>
              <w:keepLines w:val="0"/>
              <w:widowControl w:val="0"/>
              <w:numPr>
                <w:ilvl w:val="0"/>
                <w:numId w:val="63"/>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vertAlign w:val="baseline"/>
              </w:rPr>
            </w:pPr>
            <w:r>
              <w:rPr>
                <w:rFonts w:hint="default" w:hAnsi="Times New Roman" w:cs="Times New Roman"/>
                <w:color w:val="000000"/>
                <w:szCs w:val="20"/>
              </w:rPr>
              <w:t>购售电合同和并网调度协议</w:t>
            </w:r>
            <w:r>
              <w:rPr>
                <w:rFonts w:hint="eastAsia" w:hAnsi="Times New Roman" w:cs="Times New Roman"/>
                <w:color w:val="000000"/>
                <w:szCs w:val="20"/>
              </w:rPr>
              <w:t>。</w:t>
            </w:r>
          </w:p>
        </w:tc>
      </w:tr>
      <w:tr w14:paraId="73981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noWrap w:val="0"/>
            <w:vAlign w:val="center"/>
          </w:tcPr>
          <w:p w14:paraId="4CBC53ED">
            <w:pPr>
              <w:pStyle w:val="66"/>
              <w:keepNext w:val="0"/>
              <w:keepLines w:val="0"/>
              <w:numPr>
                <w:ilvl w:val="0"/>
                <w:numId w:val="0"/>
              </w:numPr>
              <w:suppressLineNumbers w:val="0"/>
              <w:spacing w:beforeAutospacing="0" w:afterAutospacing="0"/>
              <w:ind w:left="0" w:right="0"/>
              <w:jc w:val="center"/>
              <w:rPr>
                <w:rFonts w:hint="eastAsia" w:hAnsi="Times New Roman" w:eastAsia="宋体" w:cs="Times New Roman"/>
                <w:color w:val="000000"/>
                <w:szCs w:val="20"/>
                <w:vertAlign w:val="baseline"/>
                <w:lang w:val="en-US" w:eastAsia="zh-CN"/>
              </w:rPr>
            </w:pPr>
            <w:r>
              <w:rPr>
                <w:rFonts w:hint="eastAsia" w:hAnsi="Times New Roman" w:cs="Times New Roman"/>
                <w:color w:val="000000"/>
                <w:szCs w:val="20"/>
                <w:vertAlign w:val="baseline"/>
                <w:lang w:val="en-US" w:eastAsia="zh-CN"/>
              </w:rPr>
              <w:t>4</w:t>
            </w:r>
          </w:p>
        </w:tc>
        <w:tc>
          <w:tcPr>
            <w:tcW w:w="1783" w:type="dxa"/>
            <w:noWrap w:val="0"/>
            <w:vAlign w:val="center"/>
          </w:tcPr>
          <w:p w14:paraId="27A966E0">
            <w:pPr>
              <w:pStyle w:val="66"/>
              <w:keepNext w:val="0"/>
              <w:keepLines w:val="0"/>
              <w:numPr>
                <w:ilvl w:val="0"/>
                <w:numId w:val="0"/>
              </w:numPr>
              <w:suppressLineNumbers w:val="0"/>
              <w:spacing w:beforeAutospacing="0" w:afterAutospacing="0"/>
              <w:ind w:left="0" w:right="0"/>
              <w:jc w:val="center"/>
              <w:rPr>
                <w:rFonts w:hint="eastAsia" w:hAnsi="Times New Roman" w:cs="Times New Roman"/>
                <w:color w:val="000000"/>
                <w:szCs w:val="20"/>
                <w:vertAlign w:val="baseline"/>
              </w:rPr>
            </w:pPr>
            <w:r>
              <w:rPr>
                <w:rFonts w:hint="eastAsia" w:hAnsi="Times New Roman" w:cs="Times New Roman"/>
                <w:color w:val="000000"/>
                <w:szCs w:val="20"/>
              </w:rPr>
              <w:t>验收手续</w:t>
            </w:r>
          </w:p>
        </w:tc>
        <w:tc>
          <w:tcPr>
            <w:tcW w:w="4872" w:type="dxa"/>
            <w:noWrap w:val="0"/>
            <w:vAlign w:val="top"/>
          </w:tcPr>
          <w:p w14:paraId="76A0FE9A">
            <w:pPr>
              <w:pStyle w:val="65"/>
              <w:keepNext w:val="0"/>
              <w:keepLines w:val="0"/>
              <w:widowControl w:val="0"/>
              <w:numPr>
                <w:ilvl w:val="0"/>
                <w:numId w:val="64"/>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工程竣工验收</w:t>
            </w:r>
            <w:r>
              <w:rPr>
                <w:rFonts w:hint="eastAsia" w:hAnsi="Times New Roman" w:cs="Times New Roman"/>
                <w:color w:val="000000"/>
                <w:szCs w:val="20"/>
              </w:rPr>
              <w:t>；</w:t>
            </w:r>
          </w:p>
          <w:p w14:paraId="126F1858">
            <w:pPr>
              <w:pStyle w:val="65"/>
              <w:keepNext w:val="0"/>
              <w:keepLines w:val="0"/>
              <w:widowControl w:val="0"/>
              <w:numPr>
                <w:ilvl w:val="0"/>
                <w:numId w:val="64"/>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环保验收</w:t>
            </w:r>
            <w:r>
              <w:rPr>
                <w:rFonts w:hint="eastAsia" w:hAnsi="Times New Roman" w:cs="Times New Roman"/>
                <w:color w:val="000000"/>
                <w:szCs w:val="20"/>
              </w:rPr>
              <w:t>；</w:t>
            </w:r>
          </w:p>
          <w:p w14:paraId="2A435EB3">
            <w:pPr>
              <w:pStyle w:val="65"/>
              <w:keepNext w:val="0"/>
              <w:keepLines w:val="0"/>
              <w:widowControl w:val="0"/>
              <w:numPr>
                <w:ilvl w:val="0"/>
                <w:numId w:val="64"/>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水土保持设施验收</w:t>
            </w:r>
            <w:r>
              <w:rPr>
                <w:rFonts w:hint="eastAsia" w:hAnsi="Times New Roman" w:cs="Times New Roman"/>
                <w:color w:val="000000"/>
                <w:szCs w:val="20"/>
              </w:rPr>
              <w:t>；</w:t>
            </w:r>
          </w:p>
          <w:p w14:paraId="28960117">
            <w:pPr>
              <w:pStyle w:val="65"/>
              <w:keepNext w:val="0"/>
              <w:keepLines w:val="0"/>
              <w:widowControl w:val="0"/>
              <w:numPr>
                <w:ilvl w:val="0"/>
                <w:numId w:val="64"/>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安全设施验收</w:t>
            </w:r>
            <w:r>
              <w:rPr>
                <w:rFonts w:hint="eastAsia" w:hAnsi="Times New Roman" w:cs="Times New Roman"/>
                <w:color w:val="000000"/>
                <w:szCs w:val="20"/>
              </w:rPr>
              <w:t>；</w:t>
            </w:r>
          </w:p>
          <w:p w14:paraId="5F084FB7">
            <w:pPr>
              <w:pStyle w:val="65"/>
              <w:keepNext w:val="0"/>
              <w:keepLines w:val="0"/>
              <w:widowControl w:val="0"/>
              <w:numPr>
                <w:ilvl w:val="0"/>
                <w:numId w:val="64"/>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vertAlign w:val="baseline"/>
              </w:rPr>
            </w:pPr>
            <w:r>
              <w:rPr>
                <w:rFonts w:hint="default" w:hAnsi="Times New Roman" w:cs="Times New Roman"/>
                <w:color w:val="000000"/>
                <w:szCs w:val="20"/>
              </w:rPr>
              <w:t>档案验收</w:t>
            </w:r>
            <w:r>
              <w:rPr>
                <w:rFonts w:hint="eastAsia" w:hAnsi="Times New Roman" w:cs="Times New Roman"/>
                <w:color w:val="000000"/>
                <w:szCs w:val="20"/>
              </w:rPr>
              <w:t>。</w:t>
            </w:r>
          </w:p>
        </w:tc>
      </w:tr>
      <w:tr w14:paraId="0DBB1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5" w:type="dxa"/>
            <w:noWrap w:val="0"/>
            <w:vAlign w:val="center"/>
          </w:tcPr>
          <w:p w14:paraId="12185011">
            <w:pPr>
              <w:pStyle w:val="66"/>
              <w:keepNext w:val="0"/>
              <w:keepLines w:val="0"/>
              <w:numPr>
                <w:ilvl w:val="0"/>
                <w:numId w:val="0"/>
              </w:numPr>
              <w:suppressLineNumbers w:val="0"/>
              <w:spacing w:beforeAutospacing="0" w:afterAutospacing="0"/>
              <w:ind w:left="0" w:right="0"/>
              <w:jc w:val="center"/>
              <w:rPr>
                <w:rFonts w:hint="default" w:hAnsi="Times New Roman" w:cs="Times New Roman"/>
                <w:color w:val="000000"/>
                <w:szCs w:val="20"/>
                <w:vertAlign w:val="baseline"/>
                <w:lang w:val="en-US" w:eastAsia="zh-CN"/>
              </w:rPr>
            </w:pPr>
            <w:r>
              <w:rPr>
                <w:rFonts w:hint="eastAsia" w:hAnsi="Times New Roman" w:cs="Times New Roman"/>
                <w:color w:val="000000"/>
                <w:szCs w:val="20"/>
                <w:vertAlign w:val="baseline"/>
                <w:lang w:val="en-US" w:eastAsia="zh-CN"/>
              </w:rPr>
              <w:t>5</w:t>
            </w:r>
          </w:p>
        </w:tc>
        <w:tc>
          <w:tcPr>
            <w:tcW w:w="1783" w:type="dxa"/>
            <w:noWrap w:val="0"/>
            <w:vAlign w:val="center"/>
          </w:tcPr>
          <w:p w14:paraId="52872923">
            <w:pPr>
              <w:pStyle w:val="66"/>
              <w:keepNext w:val="0"/>
              <w:keepLines w:val="0"/>
              <w:numPr>
                <w:ilvl w:val="0"/>
                <w:numId w:val="0"/>
              </w:numPr>
              <w:suppressLineNumbers w:val="0"/>
              <w:spacing w:beforeAutospacing="0" w:afterAutospacing="0"/>
              <w:ind w:left="0" w:right="0"/>
              <w:jc w:val="center"/>
              <w:rPr>
                <w:rFonts w:hint="eastAsia" w:hAnsi="Times New Roman" w:cs="Times New Roman"/>
                <w:color w:val="000000"/>
                <w:szCs w:val="20"/>
              </w:rPr>
            </w:pPr>
            <w:r>
              <w:rPr>
                <w:rFonts w:hint="eastAsia" w:hAnsi="Times New Roman" w:cs="Times New Roman"/>
                <w:color w:val="000000"/>
                <w:szCs w:val="20"/>
              </w:rPr>
              <w:t>涉及海洋合规性手续</w:t>
            </w:r>
          </w:p>
        </w:tc>
        <w:tc>
          <w:tcPr>
            <w:tcW w:w="4872" w:type="dxa"/>
            <w:noWrap w:val="0"/>
            <w:vAlign w:val="top"/>
          </w:tcPr>
          <w:p w14:paraId="546FD461">
            <w:pPr>
              <w:pStyle w:val="65"/>
              <w:keepNext w:val="0"/>
              <w:keepLines w:val="0"/>
              <w:widowControl w:val="0"/>
              <w:numPr>
                <w:ilvl w:val="0"/>
                <w:numId w:val="65"/>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海底电缆路由调查勘测许可</w:t>
            </w:r>
            <w:r>
              <w:rPr>
                <w:rFonts w:hint="eastAsia" w:hAnsi="Times New Roman" w:cs="Times New Roman"/>
                <w:color w:val="000000"/>
                <w:szCs w:val="20"/>
                <w:lang w:eastAsia="zh-CN"/>
              </w:rPr>
              <w:t>；</w:t>
            </w:r>
          </w:p>
          <w:p w14:paraId="3C921538">
            <w:pPr>
              <w:pStyle w:val="65"/>
              <w:keepNext w:val="0"/>
              <w:keepLines w:val="0"/>
              <w:widowControl w:val="0"/>
              <w:numPr>
                <w:ilvl w:val="0"/>
                <w:numId w:val="65"/>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eastAsia" w:hAnsi="Times New Roman" w:cs="Times New Roman"/>
                <w:color w:val="000000"/>
                <w:szCs w:val="20"/>
                <w:lang w:val="en-US" w:eastAsia="zh-CN"/>
              </w:rPr>
              <w:t>海域使用论证；</w:t>
            </w:r>
          </w:p>
          <w:p w14:paraId="2BE77451">
            <w:pPr>
              <w:pStyle w:val="65"/>
              <w:keepNext w:val="0"/>
              <w:keepLines w:val="0"/>
              <w:widowControl w:val="0"/>
              <w:numPr>
                <w:ilvl w:val="0"/>
                <w:numId w:val="65"/>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海域使用审批</w:t>
            </w:r>
            <w:r>
              <w:rPr>
                <w:rFonts w:hint="eastAsia" w:hAnsi="Times New Roman" w:cs="Times New Roman"/>
                <w:color w:val="000000"/>
                <w:szCs w:val="20"/>
              </w:rPr>
              <w:t>；</w:t>
            </w:r>
          </w:p>
          <w:p w14:paraId="5BC7EDB1">
            <w:pPr>
              <w:pStyle w:val="65"/>
              <w:keepNext w:val="0"/>
              <w:keepLines w:val="0"/>
              <w:widowControl w:val="0"/>
              <w:numPr>
                <w:ilvl w:val="0"/>
                <w:numId w:val="65"/>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海洋环评</w:t>
            </w:r>
            <w:r>
              <w:rPr>
                <w:rFonts w:hint="eastAsia" w:hAnsi="Times New Roman" w:cs="Times New Roman"/>
                <w:color w:val="000000"/>
                <w:szCs w:val="20"/>
              </w:rPr>
              <w:t>；</w:t>
            </w:r>
          </w:p>
          <w:p w14:paraId="4FE3FF96">
            <w:pPr>
              <w:pStyle w:val="65"/>
              <w:keepNext w:val="0"/>
              <w:keepLines w:val="0"/>
              <w:widowControl w:val="0"/>
              <w:numPr>
                <w:ilvl w:val="0"/>
                <w:numId w:val="65"/>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海洋倾废许可</w:t>
            </w:r>
            <w:r>
              <w:rPr>
                <w:rFonts w:hint="eastAsia" w:hAnsi="Times New Roman" w:cs="Times New Roman"/>
                <w:color w:val="000000"/>
                <w:szCs w:val="20"/>
              </w:rPr>
              <w:t>；</w:t>
            </w:r>
          </w:p>
          <w:p w14:paraId="2E1636F8">
            <w:pPr>
              <w:pStyle w:val="65"/>
              <w:keepNext w:val="0"/>
              <w:keepLines w:val="0"/>
              <w:widowControl w:val="0"/>
              <w:numPr>
                <w:ilvl w:val="0"/>
                <w:numId w:val="65"/>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渔业资源评估</w:t>
            </w:r>
            <w:r>
              <w:rPr>
                <w:rFonts w:hint="eastAsia" w:hAnsi="Times New Roman" w:cs="Times New Roman"/>
                <w:color w:val="000000"/>
                <w:szCs w:val="20"/>
              </w:rPr>
              <w:t>；</w:t>
            </w:r>
          </w:p>
          <w:p w14:paraId="07636015">
            <w:pPr>
              <w:pStyle w:val="65"/>
              <w:keepNext w:val="0"/>
              <w:keepLines w:val="0"/>
              <w:widowControl w:val="0"/>
              <w:numPr>
                <w:ilvl w:val="0"/>
                <w:numId w:val="65"/>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通航安全评估</w:t>
            </w:r>
            <w:r>
              <w:rPr>
                <w:rFonts w:hint="eastAsia" w:hAnsi="Times New Roman" w:cs="Times New Roman"/>
                <w:color w:val="000000"/>
                <w:szCs w:val="20"/>
              </w:rPr>
              <w:t>；</w:t>
            </w:r>
          </w:p>
          <w:p w14:paraId="0C5D850E">
            <w:pPr>
              <w:pStyle w:val="65"/>
              <w:keepNext w:val="0"/>
              <w:keepLines w:val="0"/>
              <w:widowControl w:val="0"/>
              <w:numPr>
                <w:ilvl w:val="0"/>
                <w:numId w:val="65"/>
              </w:numPr>
              <w:suppressLineNumbers w:val="0"/>
              <w:tabs>
                <w:tab w:val="clear" w:pos="851"/>
              </w:tabs>
              <w:spacing w:before="0" w:beforeAutospacing="0" w:after="0" w:afterAutospacing="0"/>
              <w:ind w:left="851" w:leftChars="0" w:right="0" w:hanging="426" w:firstLineChars="0"/>
              <w:rPr>
                <w:rFonts w:hint="eastAsia" w:hAnsi="Times New Roman" w:cs="Times New Roman"/>
                <w:color w:val="000000"/>
                <w:szCs w:val="20"/>
              </w:rPr>
            </w:pPr>
            <w:r>
              <w:rPr>
                <w:rFonts w:hint="default" w:hAnsi="Times New Roman" w:cs="Times New Roman"/>
                <w:color w:val="000000"/>
                <w:szCs w:val="20"/>
              </w:rPr>
              <w:t>航标设置许可</w:t>
            </w:r>
            <w:r>
              <w:rPr>
                <w:rFonts w:hint="eastAsia" w:hAnsi="Times New Roman" w:cs="Times New Roman"/>
                <w:color w:val="000000"/>
                <w:szCs w:val="20"/>
              </w:rPr>
              <w:t>；</w:t>
            </w:r>
          </w:p>
          <w:p w14:paraId="5B70DBBC">
            <w:pPr>
              <w:pStyle w:val="65"/>
              <w:keepNext w:val="0"/>
              <w:keepLines w:val="0"/>
              <w:widowControl w:val="0"/>
              <w:numPr>
                <w:ilvl w:val="0"/>
                <w:numId w:val="65"/>
              </w:numPr>
              <w:suppressLineNumbers w:val="0"/>
              <w:tabs>
                <w:tab w:val="clear" w:pos="851"/>
              </w:tabs>
              <w:spacing w:before="0" w:beforeAutospacing="0" w:after="0" w:afterAutospacing="0"/>
              <w:ind w:left="851" w:leftChars="0" w:right="0" w:hanging="426" w:firstLineChars="0"/>
              <w:rPr>
                <w:rFonts w:hint="default" w:hAnsi="Times New Roman" w:cs="Times New Roman"/>
                <w:color w:val="000000"/>
                <w:szCs w:val="20"/>
              </w:rPr>
            </w:pPr>
            <w:r>
              <w:rPr>
                <w:rFonts w:hint="default" w:hAnsi="Times New Roman" w:cs="Times New Roman"/>
                <w:color w:val="000000"/>
                <w:szCs w:val="20"/>
              </w:rPr>
              <w:t>水上水下施工作业许可</w:t>
            </w:r>
            <w:r>
              <w:rPr>
                <w:rFonts w:hint="eastAsia" w:hAnsi="Times New Roman" w:cs="Times New Roman"/>
                <w:color w:val="000000"/>
                <w:szCs w:val="20"/>
              </w:rPr>
              <w:t>；</w:t>
            </w:r>
          </w:p>
          <w:p w14:paraId="51A2A62B">
            <w:pPr>
              <w:pStyle w:val="65"/>
              <w:keepNext w:val="0"/>
              <w:keepLines w:val="0"/>
              <w:widowControl w:val="0"/>
              <w:numPr>
                <w:ilvl w:val="0"/>
                <w:numId w:val="65"/>
              </w:numPr>
              <w:suppressLineNumbers w:val="0"/>
              <w:tabs>
                <w:tab w:val="clear" w:pos="851"/>
              </w:tabs>
              <w:spacing w:before="0" w:beforeAutospacing="0" w:after="0" w:afterAutospacing="0"/>
              <w:ind w:left="851" w:leftChars="0" w:right="0" w:hanging="426" w:firstLineChars="0"/>
              <w:rPr>
                <w:rFonts w:hint="default" w:hAnsi="Times New Roman" w:cs="Times New Roman"/>
                <w:color w:val="000000"/>
                <w:szCs w:val="20"/>
              </w:rPr>
            </w:pPr>
            <w:r>
              <w:rPr>
                <w:rFonts w:hint="eastAsia" w:hAnsi="Times New Roman" w:cs="Times New Roman"/>
                <w:color w:val="000000"/>
                <w:szCs w:val="20"/>
              </w:rPr>
              <w:t>通航安全参数备案。</w:t>
            </w:r>
          </w:p>
        </w:tc>
      </w:tr>
    </w:tbl>
    <w:p w14:paraId="3C27A097">
      <w:pPr>
        <w:pStyle w:val="66"/>
        <w:numPr>
          <w:ilvl w:val="0"/>
          <w:numId w:val="0"/>
        </w:numPr>
        <w:rPr>
          <w:rFonts w:hint="eastAsia" w:eastAsia="宋体"/>
          <w:color w:val="000000"/>
          <w:lang w:val="en-US" w:eastAsia="zh-CN"/>
        </w:rPr>
      </w:pPr>
    </w:p>
    <w:p w14:paraId="6BFB9A42">
      <w:pPr>
        <w:pStyle w:val="66"/>
        <w:rPr>
          <w:color w:val="000000"/>
        </w:rPr>
      </w:pPr>
      <w:r>
        <w:rPr>
          <w:rFonts w:hint="eastAsia"/>
          <w:color w:val="000000"/>
        </w:rPr>
        <w:t>未经建设单位允许，不得将项目资料泄露给第三方。</w:t>
      </w:r>
    </w:p>
    <w:p w14:paraId="7357ADDF">
      <w:pPr>
        <w:pStyle w:val="58"/>
        <w:spacing w:before="120" w:after="120"/>
        <w:rPr>
          <w:color w:val="000000"/>
        </w:rPr>
      </w:pPr>
      <w:r>
        <w:rPr>
          <w:rFonts w:hint="eastAsia"/>
          <w:color w:val="000000"/>
        </w:rPr>
        <w:t>合规性手续申办主要工作</w:t>
      </w:r>
    </w:p>
    <w:p w14:paraId="252836BB">
      <w:pPr>
        <w:pStyle w:val="66"/>
        <w:rPr>
          <w:color w:val="000000"/>
        </w:rPr>
      </w:pPr>
      <w:r>
        <w:t>项目前期阶段</w:t>
      </w:r>
      <w:r>
        <w:rPr>
          <w:rFonts w:hint="eastAsia"/>
          <w:highlight w:val="none"/>
          <w:lang w:val="en-US" w:eastAsia="zh-CN"/>
        </w:rPr>
        <w:t>咨询</w:t>
      </w:r>
      <w:r>
        <w:rPr>
          <w:rFonts w:hint="eastAsia"/>
          <w:color w:val="000000"/>
        </w:rPr>
        <w:t>的主要内容包括：</w:t>
      </w:r>
    </w:p>
    <w:p w14:paraId="0E8DBE91">
      <w:pPr>
        <w:pStyle w:val="65"/>
        <w:numPr>
          <w:ilvl w:val="0"/>
          <w:numId w:val="66"/>
        </w:numPr>
        <w:rPr>
          <w:rFonts w:hint="eastAsia" w:ascii="宋体" w:hAnsi="Times New Roman" w:eastAsia="宋体" w:cs="Times New Roman"/>
          <w:color w:val="000000"/>
        </w:rPr>
      </w:pPr>
      <w:r>
        <w:rPr>
          <w:rFonts w:hint="eastAsia" w:ascii="宋体" w:hAnsi="Times New Roman" w:eastAsia="宋体" w:cs="Times New Roman"/>
          <w:color w:val="000000"/>
        </w:rPr>
        <w:t>根据合同委托事项，列出手续办理清单，编制进度计划，并报建设单位审批。</w:t>
      </w:r>
    </w:p>
    <w:p w14:paraId="6FDE2D1C">
      <w:pPr>
        <w:pStyle w:val="65"/>
        <w:numPr>
          <w:ilvl w:val="0"/>
          <w:numId w:val="66"/>
        </w:numPr>
        <w:rPr>
          <w:rFonts w:hint="eastAsia" w:ascii="宋体" w:hAnsi="Times New Roman" w:eastAsia="宋体" w:cs="Times New Roman"/>
          <w:color w:val="000000"/>
          <w:lang w:val="en-US" w:eastAsia="zh-CN"/>
        </w:rPr>
      </w:pPr>
      <w:r>
        <w:rPr>
          <w:rFonts w:hint="eastAsia" w:ascii="宋体" w:hAnsi="Times New Roman" w:eastAsia="宋体" w:cs="Times New Roman"/>
          <w:color w:val="000000"/>
        </w:rPr>
        <w:t>组织设计人员与电网企业了解接入条件，确保项目设计满足电网接入要求</w:t>
      </w:r>
      <w:r>
        <w:rPr>
          <w:rFonts w:hint="eastAsia" w:ascii="宋体" w:hAnsi="Times New Roman" w:eastAsia="宋体" w:cs="Times New Roman"/>
          <w:color w:val="000000"/>
          <w:lang w:eastAsia="zh-CN"/>
        </w:rPr>
        <w:t>。</w:t>
      </w:r>
    </w:p>
    <w:p w14:paraId="56348661">
      <w:pPr>
        <w:pStyle w:val="65"/>
        <w:numPr>
          <w:ilvl w:val="0"/>
          <w:numId w:val="66"/>
        </w:numPr>
        <w:rPr>
          <w:rFonts w:hint="eastAsia" w:ascii="宋体" w:hAnsi="Times New Roman" w:eastAsia="宋体" w:cs="Times New Roman"/>
          <w:color w:val="000000"/>
          <w:lang w:val="en-US" w:eastAsia="zh-CN"/>
        </w:rPr>
      </w:pPr>
      <w:r>
        <w:rPr>
          <w:rFonts w:hint="eastAsia" w:ascii="宋体" w:hAnsi="Times New Roman" w:eastAsia="宋体" w:cs="Times New Roman"/>
          <w:color w:val="000000"/>
          <w:lang w:val="en-US" w:eastAsia="zh-CN"/>
        </w:rPr>
        <w:t>开展压覆重要矿产资源评估、地质灾害危险性评估工作，协助建设单位根据相关要求委托第三方编写评估报告并组织专家评审，整理相关报批资料进行申请并取得相关批复。</w:t>
      </w:r>
    </w:p>
    <w:p w14:paraId="7F733475">
      <w:pPr>
        <w:pStyle w:val="65"/>
        <w:numPr>
          <w:ilvl w:val="0"/>
          <w:numId w:val="66"/>
        </w:numPr>
        <w:rPr>
          <w:rFonts w:hint="eastAsia" w:ascii="宋体" w:hAnsi="Times New Roman" w:eastAsia="宋体" w:cs="Times New Roman"/>
          <w:color w:val="000000"/>
          <w:lang w:val="en-US" w:eastAsia="zh-CN"/>
        </w:rPr>
      </w:pPr>
      <w:r>
        <w:rPr>
          <w:rFonts w:hint="eastAsia" w:ascii="宋体" w:hAnsi="Times New Roman" w:eastAsia="宋体" w:cs="Times New Roman"/>
          <w:color w:val="000000"/>
          <w:lang w:val="en-US" w:eastAsia="zh-CN"/>
        </w:rPr>
        <w:t>项目涉及河道、水利工程、蓄滞洪区等区域的，同步开展洪水影响评价并办理相关审批手续。</w:t>
      </w:r>
    </w:p>
    <w:p w14:paraId="72AEEADE">
      <w:pPr>
        <w:pStyle w:val="65"/>
        <w:numPr>
          <w:ilvl w:val="0"/>
          <w:numId w:val="66"/>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按照建设单位要求，参与选址选线工作，协助摸排、避让敏感因素。</w:t>
      </w:r>
    </w:p>
    <w:p w14:paraId="6629E76E">
      <w:pPr>
        <w:pStyle w:val="65"/>
        <w:numPr>
          <w:ilvl w:val="0"/>
          <w:numId w:val="66"/>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组织</w:t>
      </w:r>
      <w:r>
        <w:rPr>
          <w:rFonts w:hint="eastAsia" w:ascii="宋体" w:hAnsi="Times New Roman" w:eastAsia="宋体" w:cs="Times New Roman"/>
          <w:color w:val="000000"/>
        </w:rPr>
        <w:t>设计单位完成电网接入系统设计方案编制工作，并报送电网企业进行审查。</w:t>
      </w:r>
    </w:p>
    <w:p w14:paraId="119B697D">
      <w:pPr>
        <w:pStyle w:val="65"/>
        <w:numPr>
          <w:ilvl w:val="0"/>
          <w:numId w:val="66"/>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组织设计单位按要求办理消防设计审查、防雷设计审核等手续。</w:t>
      </w:r>
    </w:p>
    <w:p w14:paraId="6802C037">
      <w:pPr>
        <w:pStyle w:val="65"/>
        <w:numPr>
          <w:ilvl w:val="0"/>
          <w:numId w:val="66"/>
        </w:numPr>
        <w:tabs>
          <w:tab w:val="clear" w:pos="851"/>
        </w:tabs>
        <w:rPr>
          <w:rFonts w:hint="eastAsia" w:ascii="宋体" w:hAnsi="Times New Roman" w:eastAsia="宋体" w:cs="Times New Roman"/>
          <w:color w:val="000000"/>
        </w:rPr>
      </w:pPr>
      <w:r>
        <w:rPr>
          <w:rFonts w:hint="eastAsia" w:ascii="宋体" w:hAnsi="Times New Roman" w:eastAsia="宋体" w:cs="Times New Roman"/>
          <w:color w:val="000000"/>
        </w:rPr>
        <w:t>收集备案申请材料，在开工建设前通过投资项目在线审批监管平台将相关信息告知项目备案机关</w:t>
      </w:r>
    </w:p>
    <w:p w14:paraId="0A21B075">
      <w:pPr>
        <w:pStyle w:val="66"/>
        <w:rPr>
          <w:color w:val="000000"/>
        </w:rPr>
      </w:pPr>
      <w:r>
        <w:t>开工</w:t>
      </w:r>
      <w:r>
        <w:rPr>
          <w:rFonts w:hint="eastAsia"/>
          <w:lang w:val="en-US" w:eastAsia="zh-CN"/>
        </w:rPr>
        <w:t>准备</w:t>
      </w:r>
      <w:r>
        <w:t>阶段</w:t>
      </w:r>
      <w:r>
        <w:rPr>
          <w:rFonts w:hint="eastAsia"/>
          <w:highlight w:val="none"/>
          <w:lang w:val="en-US" w:eastAsia="zh-CN"/>
        </w:rPr>
        <w:t>咨询</w:t>
      </w:r>
      <w:r>
        <w:rPr>
          <w:rFonts w:hint="eastAsia"/>
          <w:color w:val="000000"/>
        </w:rPr>
        <w:t>的主要内容包括：</w:t>
      </w:r>
    </w:p>
    <w:p w14:paraId="740786F6">
      <w:pPr>
        <w:pStyle w:val="65"/>
        <w:numPr>
          <w:ilvl w:val="0"/>
          <w:numId w:val="67"/>
        </w:numPr>
        <w:rPr>
          <w:rFonts w:hint="eastAsia" w:ascii="宋体" w:hAnsi="Times New Roman" w:eastAsia="宋体" w:cs="Times New Roman"/>
          <w:color w:val="000000"/>
        </w:rPr>
      </w:pPr>
      <w:r>
        <w:rPr>
          <w:rFonts w:hint="eastAsia" w:ascii="宋体" w:hAnsi="Times New Roman" w:eastAsia="宋体" w:cs="Times New Roman"/>
          <w:color w:val="000000"/>
        </w:rPr>
        <w:t>收集用地预审与选址意见书申请材料，向自然资源部门提交选址意见书申请，获取用地预审与选址意见书。</w:t>
      </w:r>
    </w:p>
    <w:p w14:paraId="099F0C06">
      <w:pPr>
        <w:pStyle w:val="65"/>
        <w:numPr>
          <w:ilvl w:val="0"/>
          <w:numId w:val="67"/>
        </w:numPr>
        <w:rPr>
          <w:rFonts w:hint="eastAsia" w:ascii="宋体" w:hAnsi="Times New Roman" w:eastAsia="宋体" w:cs="Times New Roman"/>
          <w:color w:val="000000"/>
        </w:rPr>
      </w:pPr>
      <w:r>
        <w:rPr>
          <w:rFonts w:hint="eastAsia" w:ascii="宋体" w:hAnsi="Times New Roman" w:eastAsia="宋体" w:cs="Times New Roman"/>
          <w:color w:val="000000"/>
        </w:rPr>
        <w:t>协助建设单位委托具备资质的环境影响评价机构编写环境影响评价文件，并向生态环境主管部门提交环评文件申请审批，获取环评批复文件。</w:t>
      </w:r>
    </w:p>
    <w:p w14:paraId="627F92C5">
      <w:pPr>
        <w:pStyle w:val="65"/>
        <w:numPr>
          <w:ilvl w:val="0"/>
          <w:numId w:val="67"/>
        </w:numPr>
        <w:rPr>
          <w:rFonts w:hint="eastAsia" w:ascii="宋体" w:hAnsi="Times New Roman" w:eastAsia="宋体" w:cs="Times New Roman"/>
          <w:color w:val="000000"/>
        </w:rPr>
      </w:pPr>
      <w:r>
        <w:rPr>
          <w:rFonts w:hint="eastAsia" w:ascii="宋体" w:hAnsi="Times New Roman" w:eastAsia="宋体" w:cs="Times New Roman"/>
          <w:color w:val="000000"/>
        </w:rPr>
        <w:t>配合建设单位签订各类征（占）地、穿（跨）越等补偿协议，编制相关方案及可行性报告。</w:t>
      </w:r>
    </w:p>
    <w:p w14:paraId="1830D073">
      <w:pPr>
        <w:pStyle w:val="65"/>
        <w:numPr>
          <w:ilvl w:val="0"/>
          <w:numId w:val="67"/>
        </w:numPr>
        <w:rPr>
          <w:rFonts w:hint="eastAsia" w:ascii="宋体" w:hAnsi="Times New Roman" w:eastAsia="宋体" w:cs="Times New Roman"/>
          <w:color w:val="000000"/>
        </w:rPr>
      </w:pPr>
      <w:r>
        <w:rPr>
          <w:rFonts w:hint="eastAsia" w:ascii="宋体" w:hAnsi="Times New Roman" w:eastAsia="宋体" w:cs="Times New Roman"/>
          <w:color w:val="000000"/>
        </w:rPr>
        <w:t>涉及升压站、综合楼等永久性建筑物的光伏发电项目，收集建设用地规划许可证和建设工程规划许可证申请材料，并向自然资源主管部门提交申请。</w:t>
      </w:r>
    </w:p>
    <w:p w14:paraId="258DEE60">
      <w:pPr>
        <w:pStyle w:val="65"/>
        <w:numPr>
          <w:ilvl w:val="0"/>
          <w:numId w:val="67"/>
        </w:numPr>
        <w:rPr>
          <w:rFonts w:hint="eastAsia" w:ascii="宋体" w:hAnsi="Times New Roman" w:eastAsia="宋体" w:cs="Times New Roman"/>
          <w:color w:val="000000"/>
        </w:rPr>
      </w:pPr>
      <w:r>
        <w:rPr>
          <w:rFonts w:hint="eastAsia" w:ascii="宋体" w:hAnsi="Times New Roman" w:eastAsia="宋体" w:cs="Times New Roman"/>
          <w:color w:val="000000"/>
        </w:rPr>
        <w:t>组织设计、施工单位完成水土保持方案编制，提交当地水利部门审批取得批准手续。</w:t>
      </w:r>
    </w:p>
    <w:p w14:paraId="2E95E013">
      <w:pPr>
        <w:pStyle w:val="65"/>
        <w:numPr>
          <w:ilvl w:val="0"/>
          <w:numId w:val="67"/>
        </w:numPr>
        <w:rPr>
          <w:rFonts w:hint="eastAsia" w:ascii="宋体" w:hAnsi="Times New Roman" w:eastAsia="宋体" w:cs="Times New Roman"/>
          <w:color w:val="000000"/>
        </w:rPr>
      </w:pPr>
      <w:r>
        <w:rPr>
          <w:rFonts w:hint="eastAsia" w:ascii="宋体" w:hAnsi="Times New Roman" w:eastAsia="宋体" w:cs="Times New Roman"/>
          <w:color w:val="000000"/>
        </w:rPr>
        <w:t>如项目涉及占用林地、草原等，在工程开工前到当地林草主管部门完成对应使用手续办理。</w:t>
      </w:r>
    </w:p>
    <w:p w14:paraId="1ACC4953">
      <w:pPr>
        <w:pStyle w:val="65"/>
        <w:numPr>
          <w:ilvl w:val="0"/>
          <w:numId w:val="67"/>
        </w:numPr>
        <w:rPr>
          <w:rFonts w:hint="eastAsia" w:ascii="宋体" w:hAnsi="Times New Roman" w:eastAsia="宋体" w:cs="Times New Roman"/>
          <w:color w:val="000000"/>
        </w:rPr>
      </w:pPr>
      <w:r>
        <w:rPr>
          <w:rFonts w:hint="eastAsia" w:ascii="宋体" w:hAnsi="Times New Roman" w:eastAsia="宋体" w:cs="Times New Roman"/>
          <w:color w:val="000000"/>
        </w:rPr>
        <w:t>在工程开工前，按</w:t>
      </w:r>
      <w:r>
        <w:rPr>
          <w:rFonts w:hint="eastAsia" w:ascii="宋体" w:hAnsi="Times New Roman" w:eastAsia="宋体" w:cs="Times New Roman"/>
          <w:color w:val="000000"/>
          <w:lang w:val="en-US" w:eastAsia="zh-CN"/>
        </w:rPr>
        <w:t>相关</w:t>
      </w:r>
      <w:r>
        <w:rPr>
          <w:rFonts w:hint="eastAsia" w:ascii="宋体" w:hAnsi="Times New Roman" w:eastAsia="宋体" w:cs="Times New Roman"/>
          <w:color w:val="000000"/>
        </w:rPr>
        <w:t>要求收集质量监督注册手续申请资料，到相应的质监机构办理质量监督注册手续。</w:t>
      </w:r>
    </w:p>
    <w:p w14:paraId="4E9462F7">
      <w:pPr>
        <w:pStyle w:val="65"/>
        <w:numPr>
          <w:ilvl w:val="0"/>
          <w:numId w:val="67"/>
        </w:numPr>
        <w:rPr>
          <w:rFonts w:hint="eastAsia" w:ascii="宋体" w:hAnsi="Times New Roman" w:eastAsia="宋体" w:cs="Times New Roman"/>
          <w:color w:val="000000"/>
        </w:rPr>
      </w:pPr>
      <w:r>
        <w:rPr>
          <w:rFonts w:hint="eastAsia" w:ascii="宋体" w:hAnsi="Times New Roman" w:eastAsia="宋体" w:cs="Times New Roman"/>
          <w:color w:val="000000"/>
        </w:rPr>
        <w:t>组织设计、施工、监理单位完成施工许可证申请材料编制，向工程所在地的县级以上地方人民政府住房城乡建设主管部门提交申请</w:t>
      </w:r>
      <w:r>
        <w:rPr>
          <w:rFonts w:hint="eastAsia" w:ascii="宋体" w:hAnsi="Times New Roman" w:eastAsia="宋体" w:cs="Times New Roman"/>
          <w:color w:val="000000"/>
          <w:lang w:eastAsia="zh-CN"/>
        </w:rPr>
        <w:t>。</w:t>
      </w:r>
    </w:p>
    <w:p w14:paraId="6122DCE7">
      <w:pPr>
        <w:pStyle w:val="66"/>
        <w:rPr>
          <w:color w:val="000000"/>
        </w:rPr>
      </w:pPr>
      <w:r>
        <w:rPr>
          <w:rFonts w:hint="eastAsia"/>
          <w:color w:val="000000"/>
          <w:lang w:val="en-US" w:eastAsia="zh-CN"/>
        </w:rPr>
        <w:t>工程竣工阶段</w:t>
      </w:r>
      <w:r>
        <w:rPr>
          <w:rFonts w:hint="eastAsia"/>
          <w:highlight w:val="none"/>
          <w:lang w:val="en-US" w:eastAsia="zh-CN"/>
        </w:rPr>
        <w:t>咨询</w:t>
      </w:r>
      <w:r>
        <w:rPr>
          <w:rFonts w:hint="eastAsia"/>
          <w:color w:val="000000"/>
        </w:rPr>
        <w:t>的主要内容包括：</w:t>
      </w:r>
    </w:p>
    <w:p w14:paraId="6A60B634">
      <w:pPr>
        <w:pStyle w:val="65"/>
        <w:numPr>
          <w:ilvl w:val="0"/>
          <w:numId w:val="68"/>
        </w:numPr>
        <w:rPr>
          <w:rFonts w:hint="eastAsia" w:ascii="宋体" w:hAnsi="Times New Roman" w:eastAsia="宋体" w:cs="Times New Roman"/>
          <w:color w:val="000000"/>
        </w:rPr>
      </w:pPr>
      <w:r>
        <w:rPr>
          <w:rFonts w:hint="eastAsia" w:ascii="宋体" w:hAnsi="Times New Roman" w:eastAsia="宋体" w:cs="Times New Roman"/>
          <w:color w:val="000000"/>
        </w:rPr>
        <w:t>收集并网申请材料，在完成接入系统工程建设后，向电网企业申请并网验收和并网许可。</w:t>
      </w:r>
    </w:p>
    <w:p w14:paraId="0CC43FB9">
      <w:pPr>
        <w:pStyle w:val="65"/>
        <w:numPr>
          <w:ilvl w:val="0"/>
          <w:numId w:val="68"/>
        </w:numPr>
        <w:rPr>
          <w:rFonts w:ascii="宋体" w:hAnsi="Times New Roman" w:eastAsia="宋体" w:cs="Times New Roman"/>
          <w:color w:val="000000"/>
        </w:rPr>
      </w:pPr>
      <w:r>
        <w:rPr>
          <w:rFonts w:hint="eastAsia" w:ascii="宋体" w:hAnsi="Times New Roman" w:eastAsia="宋体" w:cs="Times New Roman"/>
          <w:color w:val="000000"/>
        </w:rPr>
        <w:t>统筹推进工程竣工验收、水土保持设施验收、环保验收、安全设施验收及档案验收等各项专项验收工作</w:t>
      </w:r>
      <w:r>
        <w:rPr>
          <w:rFonts w:hint="eastAsia" w:cs="Times New Roman"/>
          <w:color w:val="000000"/>
          <w:lang w:eastAsia="zh-CN"/>
        </w:rPr>
        <w:t>。项目竣工验收后，整理相关资料向自然资源部门申请办理不动产权登记手续。</w:t>
      </w:r>
    </w:p>
    <w:p w14:paraId="399A235D">
      <w:pPr>
        <w:pStyle w:val="65"/>
        <w:numPr>
          <w:ilvl w:val="0"/>
          <w:numId w:val="68"/>
        </w:numPr>
        <w:rPr>
          <w:rFonts w:ascii="宋体" w:hAnsi="Times New Roman" w:eastAsia="宋体" w:cs="Times New Roman"/>
          <w:color w:val="000000"/>
        </w:rPr>
      </w:pPr>
      <w:r>
        <w:rPr>
          <w:rFonts w:hint="eastAsia" w:ascii="宋体" w:hAnsi="Times New Roman" w:eastAsia="宋体" w:cs="Times New Roman"/>
          <w:color w:val="000000"/>
        </w:rPr>
        <w:t>整理全套组件资料，开展手续组件工作，包括取得各类行政单位意见回函、补偿到位证明、会议纪要等支撑材料。</w:t>
      </w:r>
    </w:p>
    <w:p w14:paraId="0337EFB3">
      <w:pPr>
        <w:pStyle w:val="66"/>
        <w:rPr>
          <w:color w:val="000000"/>
        </w:rPr>
      </w:pPr>
      <w:r>
        <w:rPr>
          <w:rFonts w:hint="eastAsia"/>
          <w:color w:val="000000"/>
        </w:rPr>
        <w:t>海上光伏项目根据项目实际情况办理以下合规性手续：</w:t>
      </w:r>
    </w:p>
    <w:p w14:paraId="451982C8">
      <w:pPr>
        <w:pStyle w:val="65"/>
        <w:numPr>
          <w:ilvl w:val="0"/>
          <w:numId w:val="69"/>
        </w:numPr>
        <w:rPr>
          <w:color w:val="000000"/>
        </w:rPr>
      </w:pPr>
      <w:r>
        <w:rPr>
          <w:rFonts w:hint="eastAsia"/>
          <w:color w:val="000000"/>
        </w:rPr>
        <w:t>根据相关要求收集海底电缆、管道路由调查勘测许可手续办理的申请资料，并提交当地地方海洋管理机构办理；</w:t>
      </w:r>
    </w:p>
    <w:p w14:paraId="399D456F">
      <w:pPr>
        <w:pStyle w:val="65"/>
        <w:numPr>
          <w:ilvl w:val="0"/>
          <w:numId w:val="69"/>
        </w:numPr>
        <w:rPr>
          <w:color w:val="000000"/>
        </w:rPr>
      </w:pPr>
      <w:r>
        <w:rPr>
          <w:rFonts w:hint="eastAsia"/>
          <w:color w:val="000000"/>
        </w:rPr>
        <w:t>协助建设单位委托</w:t>
      </w:r>
      <w:r>
        <w:rPr>
          <w:color w:val="000000"/>
        </w:rPr>
        <w:t>具有相应资质的专业机构编制海洋生态现状调查专题报告、海洋水文观测专题报告、海洋数值模拟及岸滩稳定性分析专题报告等海洋环评</w:t>
      </w:r>
      <w:r>
        <w:rPr>
          <w:rFonts w:hint="eastAsia"/>
          <w:color w:val="000000"/>
        </w:rPr>
        <w:t>所需的</w:t>
      </w:r>
      <w:r>
        <w:rPr>
          <w:color w:val="000000"/>
        </w:rPr>
        <w:t>专题报告</w:t>
      </w:r>
      <w:r>
        <w:rPr>
          <w:rFonts w:hint="eastAsia"/>
          <w:color w:val="000000"/>
        </w:rPr>
        <w:t>。</w:t>
      </w:r>
      <w:r>
        <w:rPr>
          <w:color w:val="000000"/>
        </w:rPr>
        <w:t>收集海洋环境影响评价申请的相关材料并向生态环境部门或海洋部门提交环评文件</w:t>
      </w:r>
      <w:r>
        <w:rPr>
          <w:rFonts w:hint="eastAsia"/>
          <w:color w:val="000000"/>
        </w:rPr>
        <w:t>；</w:t>
      </w:r>
    </w:p>
    <w:p w14:paraId="1B328902">
      <w:pPr>
        <w:pStyle w:val="65"/>
        <w:numPr>
          <w:ilvl w:val="0"/>
          <w:numId w:val="69"/>
        </w:numPr>
        <w:rPr>
          <w:color w:val="000000"/>
        </w:rPr>
      </w:pPr>
      <w:r>
        <w:rPr>
          <w:color w:val="000000"/>
        </w:rPr>
        <w:t>涉及需要办理海域使用审批的海上光伏项目，协助建设单位按照相关要求开展海域使用</w:t>
      </w:r>
      <w:r>
        <w:rPr>
          <w:rFonts w:hint="eastAsia"/>
          <w:color w:val="000000"/>
        </w:rPr>
        <w:t>论证</w:t>
      </w:r>
      <w:r>
        <w:rPr>
          <w:color w:val="000000"/>
        </w:rPr>
        <w:t>，收集海域使用审批申请的相关材料并提交自然资源主管部门</w:t>
      </w:r>
      <w:r>
        <w:rPr>
          <w:rFonts w:hint="eastAsia"/>
          <w:color w:val="000000"/>
        </w:rPr>
        <w:t>；</w:t>
      </w:r>
    </w:p>
    <w:p w14:paraId="5E5E572F">
      <w:pPr>
        <w:pStyle w:val="65"/>
        <w:numPr>
          <w:ilvl w:val="0"/>
          <w:numId w:val="69"/>
        </w:numPr>
        <w:rPr>
          <w:color w:val="000000"/>
        </w:rPr>
      </w:pPr>
      <w:r>
        <w:rPr>
          <w:color w:val="000000"/>
        </w:rPr>
        <w:t>按规定开展海上通航安全影响分析</w:t>
      </w:r>
      <w:r>
        <w:rPr>
          <w:rFonts w:hint="eastAsia"/>
          <w:color w:val="000000"/>
        </w:rPr>
        <w:t>，编制通航安全评估报告并经海事部门组织的专家评审审核通过；</w:t>
      </w:r>
    </w:p>
    <w:p w14:paraId="6ECFD9EC">
      <w:pPr>
        <w:pStyle w:val="65"/>
        <w:numPr>
          <w:ilvl w:val="0"/>
          <w:numId w:val="69"/>
        </w:numPr>
        <w:rPr>
          <w:color w:val="000000"/>
        </w:rPr>
      </w:pPr>
      <w:r>
        <w:rPr>
          <w:color w:val="000000"/>
        </w:rPr>
        <w:t>影响船舶航行安全需要设置专用航标</w:t>
      </w:r>
      <w:r>
        <w:rPr>
          <w:rFonts w:hint="eastAsia"/>
          <w:color w:val="000000"/>
        </w:rPr>
        <w:t>的项目，组织施工单位进行</w:t>
      </w:r>
      <w:r>
        <w:rPr>
          <w:color w:val="000000"/>
        </w:rPr>
        <w:t>航标设置方案、航标技术参数、设置位置、维护方案等</w:t>
      </w:r>
      <w:r>
        <w:rPr>
          <w:rFonts w:hint="eastAsia"/>
          <w:color w:val="000000"/>
        </w:rPr>
        <w:t>编制，并提交海事部门进行</w:t>
      </w:r>
      <w:r>
        <w:rPr>
          <w:color w:val="000000"/>
        </w:rPr>
        <w:t>航标设置许可的申请</w:t>
      </w:r>
      <w:r>
        <w:rPr>
          <w:rFonts w:hint="eastAsia"/>
          <w:color w:val="000000"/>
        </w:rPr>
        <w:t>；</w:t>
      </w:r>
    </w:p>
    <w:p w14:paraId="730AEE0D">
      <w:pPr>
        <w:pStyle w:val="65"/>
        <w:numPr>
          <w:ilvl w:val="0"/>
          <w:numId w:val="69"/>
        </w:numPr>
        <w:rPr>
          <w:color w:val="000000"/>
        </w:rPr>
      </w:pPr>
      <w:r>
        <w:rPr>
          <w:rFonts w:hint="eastAsia"/>
          <w:color w:val="000000"/>
        </w:rPr>
        <w:t>按照</w:t>
      </w:r>
      <w:r>
        <w:rPr>
          <w:rFonts w:hint="eastAsia"/>
          <w:color w:val="000000"/>
          <w:lang w:val="en-US" w:eastAsia="zh-CN"/>
        </w:rPr>
        <w:t>相关要求</w:t>
      </w:r>
      <w:r>
        <w:rPr>
          <w:rFonts w:hint="eastAsia"/>
          <w:color w:val="000000"/>
        </w:rPr>
        <w:t>办理水上水下作业许可或报告手续，并检查施工单位通航安全保障措施已落实到位；</w:t>
      </w:r>
    </w:p>
    <w:p w14:paraId="1695EB47">
      <w:pPr>
        <w:pStyle w:val="65"/>
        <w:numPr>
          <w:ilvl w:val="0"/>
          <w:numId w:val="69"/>
        </w:numPr>
        <w:rPr>
          <w:color w:val="000000"/>
        </w:rPr>
      </w:pPr>
      <w:r>
        <w:rPr>
          <w:color w:val="000000"/>
        </w:rPr>
        <w:t>涉及海底电缆敷设、海床开挖等可能产生废弃物</w:t>
      </w:r>
      <w:r>
        <w:rPr>
          <w:rFonts w:hint="eastAsia"/>
          <w:color w:val="000000"/>
        </w:rPr>
        <w:t>的</w:t>
      </w:r>
      <w:r>
        <w:rPr>
          <w:color w:val="000000"/>
        </w:rPr>
        <w:t>作业，</w:t>
      </w:r>
      <w:r>
        <w:rPr>
          <w:rFonts w:hint="eastAsia"/>
          <w:color w:val="000000"/>
        </w:rPr>
        <w:t>填报倾倒废弃物申请书提交所在区域的省级海洋行政主管部门，</w:t>
      </w:r>
      <w:r>
        <w:rPr>
          <w:color w:val="000000"/>
        </w:rPr>
        <w:t>办理海洋倾废许可</w:t>
      </w:r>
      <w:r>
        <w:rPr>
          <w:rFonts w:hint="eastAsia"/>
          <w:color w:val="000000"/>
        </w:rPr>
        <w:t>证；</w:t>
      </w:r>
    </w:p>
    <w:p w14:paraId="09D9770F">
      <w:pPr>
        <w:pStyle w:val="65"/>
        <w:numPr>
          <w:ilvl w:val="0"/>
          <w:numId w:val="69"/>
        </w:numPr>
        <w:rPr>
          <w:color w:val="000000"/>
        </w:rPr>
      </w:pPr>
      <w:r>
        <w:rPr>
          <w:rFonts w:hint="eastAsia"/>
          <w:color w:val="000000"/>
        </w:rPr>
        <w:t>项目建成后，将有关通航安全的技术参数提交海事管理机构进行备案。</w:t>
      </w:r>
    </w:p>
    <w:bookmarkEnd w:id="362"/>
    <w:bookmarkEnd w:id="363"/>
    <w:bookmarkEnd w:id="364"/>
    <w:bookmarkEnd w:id="365"/>
    <w:bookmarkEnd w:id="366"/>
    <w:bookmarkEnd w:id="382"/>
    <w:p w14:paraId="70FA9F82">
      <w:pPr>
        <w:pStyle w:val="66"/>
        <w:numPr>
          <w:ilvl w:val="0"/>
          <w:numId w:val="0"/>
        </w:numPr>
        <w:rPr>
          <w:color w:val="000000"/>
        </w:rPr>
      </w:pPr>
    </w:p>
    <w:p w14:paraId="0AFAE27B">
      <w:pPr>
        <w:pStyle w:val="51"/>
        <w:spacing w:before="120" w:after="120"/>
        <w:rPr>
          <w:color w:val="000000"/>
        </w:rPr>
      </w:pPr>
      <w:bookmarkStart w:id="384" w:name="_Toc155714316"/>
      <w:bookmarkStart w:id="385" w:name="_Toc4554"/>
      <w:bookmarkStart w:id="386" w:name="_Toc22507"/>
      <w:bookmarkStart w:id="387" w:name="_Toc155604596"/>
      <w:bookmarkStart w:id="388" w:name="_Toc155628757"/>
      <w:bookmarkStart w:id="389" w:name="_Toc155628820"/>
      <w:bookmarkStart w:id="390" w:name="_Toc155714376"/>
      <w:r>
        <w:rPr>
          <w:rFonts w:hint="eastAsia"/>
          <w:color w:val="000000"/>
        </w:rPr>
        <w:t>运行维护咨询</w:t>
      </w:r>
      <w:bookmarkEnd w:id="384"/>
      <w:bookmarkEnd w:id="385"/>
      <w:bookmarkEnd w:id="386"/>
      <w:bookmarkEnd w:id="387"/>
      <w:bookmarkEnd w:id="388"/>
      <w:bookmarkEnd w:id="389"/>
      <w:bookmarkEnd w:id="390"/>
    </w:p>
    <w:p w14:paraId="6CE4CC07">
      <w:pPr>
        <w:pStyle w:val="58"/>
        <w:spacing w:before="120" w:after="120"/>
        <w:rPr>
          <w:color w:val="000000"/>
        </w:rPr>
      </w:pPr>
      <w:r>
        <w:rPr>
          <w:rFonts w:hint="eastAsia"/>
          <w:color w:val="000000"/>
        </w:rPr>
        <w:t>一般规定</w:t>
      </w:r>
    </w:p>
    <w:p w14:paraId="1D46B936">
      <w:pPr>
        <w:pStyle w:val="66"/>
        <w:rPr>
          <w:color w:val="000000"/>
        </w:rPr>
      </w:pPr>
      <w:r>
        <w:rPr>
          <w:rFonts w:hint="eastAsia"/>
          <w:color w:val="000000"/>
        </w:rPr>
        <w:t>运行维护咨询包括工程建设和试运行阶段的运行维护咨询服务工作。</w:t>
      </w:r>
    </w:p>
    <w:p w14:paraId="4A285D9D">
      <w:pPr>
        <w:pStyle w:val="66"/>
        <w:rPr>
          <w:color w:val="000000"/>
        </w:rPr>
      </w:pPr>
      <w:r>
        <w:rPr>
          <w:rFonts w:hint="eastAsia"/>
          <w:color w:val="000000"/>
        </w:rPr>
        <w:t>运行维护的咨询服务人员应具备与项目运维岗位相匹配的资格资质、实践经验与综合能力。</w:t>
      </w:r>
    </w:p>
    <w:p w14:paraId="5521C733">
      <w:pPr>
        <w:pStyle w:val="66"/>
        <w:rPr>
          <w:color w:val="000000"/>
        </w:rPr>
      </w:pPr>
      <w:r>
        <w:rPr>
          <w:rFonts w:hint="eastAsia"/>
          <w:color w:val="000000"/>
        </w:rPr>
        <w:t>各阶段运行维护咨询过程中形成的所有资料、报告及其他成果文件，均须以数字化形式进行归档与管理。</w:t>
      </w:r>
    </w:p>
    <w:p w14:paraId="50EF01F7">
      <w:pPr>
        <w:pStyle w:val="58"/>
        <w:spacing w:before="120" w:after="120"/>
        <w:rPr>
          <w:color w:val="000000"/>
        </w:rPr>
      </w:pPr>
      <w:r>
        <w:rPr>
          <w:rFonts w:hint="eastAsia"/>
          <w:color w:val="000000"/>
        </w:rPr>
        <w:t>运行维护咨询主要工作</w:t>
      </w:r>
    </w:p>
    <w:p w14:paraId="0E8B81BD">
      <w:pPr>
        <w:pStyle w:val="66"/>
        <w:rPr>
          <w:color w:val="000000"/>
        </w:rPr>
      </w:pPr>
      <w:r>
        <w:rPr>
          <w:rFonts w:hint="eastAsia"/>
          <w:color w:val="000000"/>
        </w:rPr>
        <w:t>依据合同和全过程工程咨询服务规划编制运行维护咨询实施细则，并应经工程咨询项目经理审批后组织实施。</w:t>
      </w:r>
    </w:p>
    <w:p w14:paraId="77E65703">
      <w:pPr>
        <w:pStyle w:val="66"/>
        <w:rPr>
          <w:color w:val="000000"/>
        </w:rPr>
      </w:pPr>
      <w:r>
        <w:rPr>
          <w:rFonts w:hint="eastAsia"/>
          <w:color w:val="000000"/>
        </w:rPr>
        <w:t>依据运行维护咨询实施细则组织建立运行维护相关的工作制度、标准作业程序，系统性开展运维咨询服务工作。</w:t>
      </w:r>
    </w:p>
    <w:p w14:paraId="2E0D41EC">
      <w:pPr>
        <w:pStyle w:val="66"/>
        <w:rPr>
          <w:color w:val="000000"/>
        </w:rPr>
      </w:pPr>
      <w:r>
        <w:rPr>
          <w:rFonts w:hint="eastAsia"/>
          <w:color w:val="000000"/>
        </w:rPr>
        <w:t>参与关键设计文件的评审工作，从长期运行、维护便利及安全性等角度提出专业化意见与优化建议。</w:t>
      </w:r>
    </w:p>
    <w:p w14:paraId="7F2130DB">
      <w:pPr>
        <w:pStyle w:val="66"/>
        <w:rPr>
          <w:color w:val="000000"/>
        </w:rPr>
      </w:pPr>
      <w:r>
        <w:rPr>
          <w:rFonts w:hint="eastAsia"/>
          <w:color w:val="000000"/>
        </w:rPr>
        <w:t>指导建立项目运行维护组织体系，明确岗位配置与职责，协助构建完整的运维管理制度、运行操作规程及相关技术标准体系。</w:t>
      </w:r>
    </w:p>
    <w:p w14:paraId="3F957747">
      <w:pPr>
        <w:pStyle w:val="66"/>
        <w:rPr>
          <w:color w:val="000000"/>
        </w:rPr>
      </w:pPr>
      <w:r>
        <w:rPr>
          <w:rFonts w:hint="eastAsia"/>
          <w:color w:val="000000"/>
        </w:rPr>
        <w:t>配合培训、考核运行维护人员。海上光伏发电工程项目应对船舶驾驶人员进行培训并取得认定资格。</w:t>
      </w:r>
    </w:p>
    <w:p w14:paraId="0422E51A">
      <w:pPr>
        <w:pStyle w:val="66"/>
        <w:rPr>
          <w:color w:val="000000"/>
        </w:rPr>
      </w:pPr>
      <w:r>
        <w:rPr>
          <w:rFonts w:hint="eastAsia"/>
          <w:color w:val="000000"/>
        </w:rPr>
        <w:t>指导运行维护人员参与调试、启动验收，指导开展工程试运行。</w:t>
      </w:r>
    </w:p>
    <w:p w14:paraId="249DB919">
      <w:pPr>
        <w:pStyle w:val="66"/>
        <w:rPr>
          <w:color w:val="000000"/>
        </w:rPr>
      </w:pPr>
      <w:r>
        <w:rPr>
          <w:rFonts w:hint="eastAsia"/>
          <w:color w:val="000000"/>
        </w:rPr>
        <w:t>借助数字化手段，结合运行状态及环境条件，开展电站运行监视与维护检修等生产辅助管理。</w:t>
      </w:r>
    </w:p>
    <w:p w14:paraId="5CB90EE6">
      <w:pPr>
        <w:pStyle w:val="66"/>
        <w:rPr>
          <w:rFonts w:hint="eastAsia"/>
          <w:color w:val="000000"/>
        </w:rPr>
      </w:pPr>
      <w:r>
        <w:rPr>
          <w:rFonts w:hint="eastAsia"/>
          <w:color w:val="000000"/>
        </w:rPr>
        <w:t>海上光伏发电站运行监视内容应包含以下内容：</w:t>
      </w:r>
    </w:p>
    <w:p w14:paraId="136174F9">
      <w:pPr>
        <w:pStyle w:val="65"/>
        <w:numPr>
          <w:ilvl w:val="0"/>
          <w:numId w:val="70"/>
        </w:numPr>
        <w:rPr>
          <w:rFonts w:hint="eastAsia"/>
          <w:color w:val="000000"/>
        </w:rPr>
      </w:pPr>
      <w:r>
        <w:rPr>
          <w:rFonts w:hint="eastAsia"/>
          <w:color w:val="000000"/>
        </w:rPr>
        <w:t>发电设备、输变电设备的运行状态、实时数据以及光伏场区安全运行环境；</w:t>
      </w:r>
    </w:p>
    <w:p w14:paraId="0CCC2776">
      <w:pPr>
        <w:pStyle w:val="65"/>
        <w:numPr>
          <w:ilvl w:val="0"/>
          <w:numId w:val="70"/>
        </w:numPr>
        <w:rPr>
          <w:rFonts w:hint="eastAsia"/>
          <w:color w:val="000000"/>
        </w:rPr>
      </w:pPr>
      <w:r>
        <w:rPr>
          <w:rFonts w:hint="eastAsia"/>
          <w:color w:val="000000"/>
        </w:rPr>
        <w:t>光伏场区海域的海洋水文气象信息；</w:t>
      </w:r>
    </w:p>
    <w:p w14:paraId="6DCCA1E7">
      <w:pPr>
        <w:pStyle w:val="65"/>
        <w:numPr>
          <w:ilvl w:val="0"/>
          <w:numId w:val="70"/>
        </w:numPr>
        <w:rPr>
          <w:rFonts w:hint="eastAsia"/>
          <w:color w:val="000000"/>
        </w:rPr>
      </w:pPr>
      <w:r>
        <w:rPr>
          <w:rFonts w:hint="eastAsia"/>
          <w:color w:val="000000"/>
        </w:rPr>
        <w:t>光伏发电单元、海上升压站及海缆监控系统各项参数变化情况；</w:t>
      </w:r>
    </w:p>
    <w:p w14:paraId="76BB2DD7">
      <w:pPr>
        <w:pStyle w:val="65"/>
        <w:numPr>
          <w:ilvl w:val="0"/>
          <w:numId w:val="70"/>
        </w:numPr>
        <w:rPr>
          <w:rFonts w:hint="eastAsia"/>
          <w:color w:val="000000"/>
        </w:rPr>
      </w:pPr>
      <w:r>
        <w:rPr>
          <w:rFonts w:hint="eastAsia"/>
          <w:color w:val="000000"/>
        </w:rPr>
        <w:t>气象站数据，包括辐照强度、环境温度、风速、风向等；</w:t>
      </w:r>
    </w:p>
    <w:p w14:paraId="0A4A2080">
      <w:pPr>
        <w:pStyle w:val="65"/>
        <w:numPr>
          <w:ilvl w:val="0"/>
          <w:numId w:val="70"/>
        </w:numPr>
        <w:rPr>
          <w:rFonts w:hint="eastAsia"/>
          <w:color w:val="000000"/>
        </w:rPr>
      </w:pPr>
      <w:r>
        <w:rPr>
          <w:rFonts w:hint="eastAsia"/>
          <w:color w:val="000000"/>
        </w:rPr>
        <w:t>光伏组件串、汇流箱、逆变器、就地升压变、主变压器、集电线路、无功补偿装置及二次屏柜等设备的运行状态和实时状态；</w:t>
      </w:r>
    </w:p>
    <w:p w14:paraId="1FD4576A">
      <w:pPr>
        <w:pStyle w:val="65"/>
        <w:numPr>
          <w:ilvl w:val="0"/>
          <w:numId w:val="70"/>
        </w:numPr>
        <w:rPr>
          <w:rFonts w:hint="eastAsia"/>
          <w:color w:val="000000"/>
        </w:rPr>
      </w:pPr>
      <w:r>
        <w:rPr>
          <w:rFonts w:hint="eastAsia"/>
          <w:color w:val="000000"/>
        </w:rPr>
        <w:t>钢结构防腐外加电流系统；</w:t>
      </w:r>
    </w:p>
    <w:p w14:paraId="3AFADF72">
      <w:pPr>
        <w:pStyle w:val="65"/>
        <w:numPr>
          <w:ilvl w:val="0"/>
          <w:numId w:val="70"/>
        </w:numPr>
        <w:rPr>
          <w:rFonts w:hint="eastAsia"/>
          <w:color w:val="000000"/>
        </w:rPr>
      </w:pPr>
      <w:r>
        <w:rPr>
          <w:rFonts w:hint="eastAsia"/>
          <w:color w:val="000000"/>
        </w:rPr>
        <w:t>海上升压站平台生产、生活辅助设施。</w:t>
      </w:r>
    </w:p>
    <w:p w14:paraId="7E4D1505">
      <w:pPr>
        <w:pStyle w:val="66"/>
        <w:rPr>
          <w:color w:val="000000"/>
        </w:rPr>
      </w:pPr>
      <w:r>
        <w:rPr>
          <w:rFonts w:hint="eastAsia"/>
          <w:color w:val="000000"/>
        </w:rPr>
        <w:t>海上光伏发电站遭受强对流天气（雷暴、台风）后，指导运行维护人员对光伏发电单元和电控系统状态进行检查。</w:t>
      </w:r>
    </w:p>
    <w:p w14:paraId="04BBBEBA">
      <w:pPr>
        <w:pStyle w:val="51"/>
        <w:spacing w:before="120" w:after="120"/>
        <w:rPr>
          <w:rFonts w:hint="eastAsia"/>
          <w:color w:val="000000"/>
        </w:rPr>
      </w:pPr>
      <w:bookmarkStart w:id="391" w:name="_Toc24724"/>
      <w:bookmarkStart w:id="392" w:name="_Toc32597"/>
      <w:commentRangeStart w:id="22"/>
      <w:r>
        <w:rPr>
          <w:rFonts w:hint="eastAsia"/>
          <w:color w:val="000000"/>
        </w:rPr>
        <w:t>第三方安全</w:t>
      </w:r>
      <w:commentRangeEnd w:id="22"/>
      <w:r>
        <w:commentReference w:id="22"/>
      </w:r>
      <w:r>
        <w:rPr>
          <w:rFonts w:hint="eastAsia"/>
          <w:color w:val="000000"/>
        </w:rPr>
        <w:t>督查</w:t>
      </w:r>
      <w:bookmarkEnd w:id="391"/>
      <w:bookmarkEnd w:id="392"/>
    </w:p>
    <w:p w14:paraId="0DA101F1">
      <w:pPr>
        <w:pStyle w:val="58"/>
        <w:spacing w:before="120" w:after="120"/>
        <w:rPr>
          <w:rFonts w:hint="eastAsia"/>
          <w:color w:val="000000"/>
        </w:rPr>
      </w:pPr>
      <w:r>
        <w:rPr>
          <w:rFonts w:hint="eastAsia"/>
          <w:color w:val="000000"/>
        </w:rPr>
        <w:t xml:space="preserve"> 一般规定</w:t>
      </w:r>
    </w:p>
    <w:p w14:paraId="257B5B78">
      <w:pPr>
        <w:pStyle w:val="66"/>
        <w:rPr>
          <w:rFonts w:hint="eastAsia"/>
          <w:color w:val="000000"/>
        </w:rPr>
      </w:pPr>
      <w:commentRangeStart w:id="23"/>
      <w:r>
        <w:rPr>
          <w:rFonts w:hint="eastAsia"/>
          <w:color w:val="000000"/>
        </w:rPr>
        <w:t>第三方安全督查是受建设单位委托的独立工程咨询单位对施工阶段开展的安全督查</w:t>
      </w:r>
      <w:commentRangeEnd w:id="23"/>
      <w:r>
        <w:commentReference w:id="23"/>
      </w:r>
      <w:r>
        <w:rPr>
          <w:rFonts w:hint="eastAsia"/>
          <w:color w:val="000000"/>
        </w:rPr>
        <w:t>。</w:t>
      </w:r>
    </w:p>
    <w:p w14:paraId="559464BD">
      <w:pPr>
        <w:pStyle w:val="66"/>
        <w:rPr>
          <w:rFonts w:hint="eastAsia"/>
          <w:color w:val="000000"/>
        </w:rPr>
      </w:pPr>
      <w:commentRangeStart w:id="24"/>
      <w:r>
        <w:rPr>
          <w:rFonts w:hint="eastAsia"/>
          <w:color w:val="000000"/>
        </w:rPr>
        <w:t>第三方安全督查可采用委托方要求的督查方式</w:t>
      </w:r>
      <w:commentRangeEnd w:id="24"/>
      <w:r>
        <w:commentReference w:id="24"/>
      </w:r>
      <w:r>
        <w:rPr>
          <w:rFonts w:hint="eastAsia"/>
          <w:color w:val="000000"/>
        </w:rPr>
        <w:t>。</w:t>
      </w:r>
    </w:p>
    <w:p w14:paraId="208E69A1">
      <w:pPr>
        <w:pStyle w:val="58"/>
        <w:spacing w:before="120" w:after="120"/>
        <w:rPr>
          <w:rFonts w:hint="eastAsia"/>
          <w:color w:val="000000"/>
        </w:rPr>
      </w:pPr>
      <w:r>
        <w:rPr>
          <w:rFonts w:hint="eastAsia"/>
          <w:color w:val="000000"/>
        </w:rPr>
        <w:t>第三方安全督查主要工作</w:t>
      </w:r>
    </w:p>
    <w:p w14:paraId="62A704CC">
      <w:pPr>
        <w:pStyle w:val="66"/>
        <w:rPr>
          <w:rFonts w:hint="eastAsia"/>
          <w:color w:val="000000"/>
        </w:rPr>
      </w:pPr>
      <w:r>
        <w:rPr>
          <w:rFonts w:hint="eastAsia"/>
          <w:color w:val="000000"/>
        </w:rPr>
        <w:t>组建安全督查工作机构,选派督查组成员,保障安全督查力量。</w:t>
      </w:r>
    </w:p>
    <w:p w14:paraId="629A31B9">
      <w:pPr>
        <w:pStyle w:val="66"/>
        <w:rPr>
          <w:rFonts w:hint="eastAsia"/>
          <w:color w:val="000000"/>
        </w:rPr>
      </w:pPr>
      <w:r>
        <w:rPr>
          <w:rFonts w:hint="eastAsia"/>
          <w:color w:val="000000"/>
        </w:rPr>
        <w:t>制定安全督查计划，明确督查重点、频次与方法,报建设单位确认后开展督查工作。</w:t>
      </w:r>
    </w:p>
    <w:p w14:paraId="4B28D338">
      <w:pPr>
        <w:pStyle w:val="66"/>
        <w:rPr>
          <w:rFonts w:hint="eastAsia"/>
          <w:color w:val="000000"/>
        </w:rPr>
      </w:pPr>
      <w:r>
        <w:rPr>
          <w:rFonts w:hint="eastAsia"/>
          <w:color w:val="000000"/>
        </w:rPr>
        <w:t>对施工现场开展常态化安全巡查，重点核查作业现场典型违章行为、事故隐患、风险管控措施落实状况及安全文明施工管理等情况。。</w:t>
      </w:r>
    </w:p>
    <w:p w14:paraId="247801BE">
      <w:pPr>
        <w:pStyle w:val="66"/>
        <w:rPr>
          <w:rFonts w:hint="eastAsia"/>
          <w:color w:val="000000"/>
        </w:rPr>
      </w:pPr>
      <w:r>
        <w:rPr>
          <w:rFonts w:hint="eastAsia"/>
          <w:color w:val="000000"/>
        </w:rPr>
        <w:t>根据合同约定检查现场参建单位安全管理制度制定及落实情况。</w:t>
      </w:r>
    </w:p>
    <w:p w14:paraId="12EC8B2C">
      <w:pPr>
        <w:pStyle w:val="66"/>
        <w:rPr>
          <w:rFonts w:hint="eastAsia"/>
          <w:color w:val="000000"/>
        </w:rPr>
      </w:pPr>
      <w:r>
        <w:rPr>
          <w:rFonts w:hint="eastAsia"/>
          <w:color w:val="000000"/>
        </w:rPr>
        <w:t>督查过程中,应记录检查发现问题,并留存影像资料;如发现重大安全隐患,应通知现场负责</w:t>
      </w:r>
    </w:p>
    <w:p w14:paraId="0FC667BC">
      <w:pPr>
        <w:pStyle w:val="66"/>
        <w:numPr>
          <w:ilvl w:val="4"/>
          <w:numId w:val="0"/>
        </w:numPr>
        <w:rPr>
          <w:rFonts w:hint="eastAsia"/>
          <w:color w:val="000000"/>
        </w:rPr>
      </w:pPr>
      <w:r>
        <w:rPr>
          <w:rFonts w:hint="eastAsia"/>
          <w:color w:val="000000"/>
        </w:rPr>
        <w:t>人,制止违章行为,向建设单位提出停工整顿等建议。</w:t>
      </w:r>
    </w:p>
    <w:p w14:paraId="7CB6C74F">
      <w:pPr>
        <w:pStyle w:val="66"/>
        <w:rPr>
          <w:rFonts w:hint="eastAsia"/>
          <w:color w:val="000000"/>
        </w:rPr>
      </w:pPr>
      <w:r>
        <w:rPr>
          <w:rFonts w:hint="eastAsia"/>
          <w:color w:val="000000"/>
        </w:rPr>
        <w:t>督查完成后,向受检单位出具安全问题清单,编制督查报告反馈建设单位,并对整改情况进行跟踪与闭环。</w:t>
      </w:r>
    </w:p>
    <w:p w14:paraId="7B655C08">
      <w:pPr>
        <w:pStyle w:val="66"/>
        <w:rPr>
          <w:rFonts w:hint="eastAsia"/>
          <w:color w:val="000000"/>
        </w:rPr>
      </w:pPr>
      <w:r>
        <w:rPr>
          <w:rFonts w:hint="eastAsia"/>
          <w:color w:val="000000"/>
        </w:rPr>
        <w:t>定期整理、汇总、分析督查情况,形成报告并提交建设单位。</w:t>
      </w:r>
    </w:p>
    <w:p w14:paraId="3CC30684">
      <w:pPr>
        <w:pStyle w:val="66"/>
        <w:rPr>
          <w:rFonts w:hint="eastAsia"/>
          <w:color w:val="000000"/>
        </w:rPr>
      </w:pPr>
      <w:r>
        <w:rPr>
          <w:rFonts w:hint="eastAsia"/>
          <w:color w:val="000000"/>
        </w:rPr>
        <w:t>制作典型违章问题、案例等培训课程并提供给参建单位,配合开展安全培训。</w:t>
      </w:r>
    </w:p>
    <w:p w14:paraId="10B60921">
      <w:pPr>
        <w:pStyle w:val="51"/>
        <w:spacing w:before="120" w:after="120"/>
        <w:rPr>
          <w:rFonts w:hint="eastAsia"/>
          <w:color w:val="000000"/>
        </w:rPr>
      </w:pPr>
      <w:bookmarkStart w:id="393" w:name="_Toc19138"/>
      <w:bookmarkStart w:id="394" w:name="_Toc28492"/>
      <w:r>
        <w:rPr>
          <w:rFonts w:hint="eastAsia"/>
          <w:color w:val="000000"/>
        </w:rPr>
        <w:t>安全生产标准化咨询</w:t>
      </w:r>
      <w:bookmarkEnd w:id="393"/>
      <w:bookmarkEnd w:id="394"/>
    </w:p>
    <w:p w14:paraId="2917A06A">
      <w:pPr>
        <w:pStyle w:val="58"/>
        <w:spacing w:before="120" w:after="120"/>
        <w:rPr>
          <w:rFonts w:hint="eastAsia"/>
          <w:color w:val="000000"/>
        </w:rPr>
      </w:pPr>
      <w:r>
        <w:rPr>
          <w:rFonts w:hint="eastAsia"/>
          <w:color w:val="000000"/>
        </w:rPr>
        <w:t xml:space="preserve"> 一般规定</w:t>
      </w:r>
    </w:p>
    <w:p w14:paraId="44CD1AD0">
      <w:pPr>
        <w:pStyle w:val="66"/>
        <w:rPr>
          <w:rFonts w:hint="eastAsia"/>
          <w:color w:val="000000"/>
        </w:rPr>
      </w:pPr>
      <w:r>
        <w:rPr>
          <w:rFonts w:hint="eastAsia"/>
          <w:color w:val="000000"/>
        </w:rPr>
        <w:t>工程咨询机构应指导建设单位按照目标职责、制度化管理、教育培训、现场管理、安全风险管控及隐患排查治理、应急管理、事故管理、持续改进等八个要素开展安全生产标准化工作</w:t>
      </w:r>
      <w:r>
        <w:commentReference w:id="25"/>
      </w:r>
      <w:r>
        <w:rPr>
          <w:rFonts w:hint="eastAsia"/>
          <w:color w:val="000000"/>
        </w:rPr>
        <w:t>。</w:t>
      </w:r>
    </w:p>
    <w:p w14:paraId="6192DF57">
      <w:pPr>
        <w:pStyle w:val="66"/>
        <w:rPr>
          <w:rFonts w:hint="eastAsia"/>
          <w:color w:val="000000"/>
        </w:rPr>
      </w:pPr>
      <w:r>
        <w:rPr>
          <w:rFonts w:hint="eastAsia"/>
          <w:color w:val="000000"/>
        </w:rPr>
        <w:t>安全生产标准化咨询应按 DL/T2679开展安全生产标准化专业培训、技术咨询、达标评审等工作,编制咨询方案。</w:t>
      </w:r>
    </w:p>
    <w:p w14:paraId="6430DD7D">
      <w:pPr>
        <w:pStyle w:val="58"/>
        <w:spacing w:before="120" w:after="120"/>
        <w:rPr>
          <w:rFonts w:hint="eastAsia"/>
          <w:color w:val="000000"/>
        </w:rPr>
      </w:pPr>
      <w:r>
        <w:rPr>
          <w:rFonts w:hint="eastAsia"/>
          <w:color w:val="000000"/>
        </w:rPr>
        <w:t>安全生产标准化咨询主要内容</w:t>
      </w:r>
    </w:p>
    <w:p w14:paraId="7F849C61">
      <w:pPr>
        <w:pStyle w:val="66"/>
        <w:rPr>
          <w:rFonts w:hint="eastAsia"/>
          <w:color w:val="000000"/>
        </w:rPr>
      </w:pPr>
      <w:r>
        <w:rPr>
          <w:rFonts w:hint="eastAsia"/>
          <w:color w:val="000000"/>
        </w:rPr>
        <w:t>安全生产标准化专业培训主要工作内容应包括:</w:t>
      </w:r>
    </w:p>
    <w:p w14:paraId="5B5F753E">
      <w:pPr>
        <w:pStyle w:val="65"/>
        <w:numPr>
          <w:ilvl w:val="0"/>
          <w:numId w:val="71"/>
        </w:numPr>
        <w:rPr>
          <w:rFonts w:hint="eastAsia"/>
          <w:color w:val="000000"/>
        </w:rPr>
      </w:pPr>
      <w:r>
        <w:rPr>
          <w:rFonts w:hint="eastAsia"/>
          <w:color w:val="000000"/>
        </w:rPr>
        <w:t>安全生产标准化概念；</w:t>
      </w:r>
    </w:p>
    <w:p w14:paraId="5FE1E0E9">
      <w:pPr>
        <w:pStyle w:val="65"/>
        <w:numPr>
          <w:ilvl w:val="0"/>
          <w:numId w:val="71"/>
        </w:numPr>
        <w:rPr>
          <w:rFonts w:hint="eastAsia"/>
          <w:color w:val="000000"/>
        </w:rPr>
      </w:pPr>
      <w:r>
        <w:rPr>
          <w:rFonts w:hint="eastAsia"/>
          <w:color w:val="000000"/>
        </w:rPr>
        <w:t>安全生产标准化体系建设流程及工作方法；</w:t>
      </w:r>
    </w:p>
    <w:p w14:paraId="4501C3D9">
      <w:pPr>
        <w:pStyle w:val="65"/>
        <w:numPr>
          <w:ilvl w:val="0"/>
          <w:numId w:val="71"/>
        </w:numPr>
        <w:rPr>
          <w:rFonts w:hint="eastAsia"/>
          <w:color w:val="000000"/>
        </w:rPr>
      </w:pPr>
      <w:r>
        <w:rPr>
          <w:rFonts w:hint="eastAsia"/>
          <w:color w:val="000000"/>
        </w:rPr>
        <w:t>安全生产标准化规范。</w:t>
      </w:r>
    </w:p>
    <w:p w14:paraId="2E0682ED">
      <w:pPr>
        <w:pStyle w:val="66"/>
        <w:rPr>
          <w:rFonts w:hint="eastAsia"/>
          <w:color w:val="000000"/>
        </w:rPr>
      </w:pPr>
      <w:r>
        <w:rPr>
          <w:rFonts w:hint="eastAsia"/>
          <w:color w:val="000000"/>
        </w:rPr>
        <w:t>安全生产标准化技术咨询工作主要工作内容应包括:</w:t>
      </w:r>
    </w:p>
    <w:p w14:paraId="057E4DE0">
      <w:pPr>
        <w:pStyle w:val="65"/>
        <w:numPr>
          <w:ilvl w:val="0"/>
          <w:numId w:val="72"/>
        </w:numPr>
        <w:rPr>
          <w:rFonts w:hint="eastAsia"/>
          <w:color w:val="000000"/>
        </w:rPr>
      </w:pPr>
      <w:r>
        <w:rPr>
          <w:rFonts w:hint="eastAsia"/>
          <w:color w:val="000000"/>
        </w:rPr>
        <w:t>协助委托方编制安全标准化创建方案;</w:t>
      </w:r>
    </w:p>
    <w:p w14:paraId="37F8A6ED">
      <w:pPr>
        <w:pStyle w:val="65"/>
        <w:numPr>
          <w:ilvl w:val="0"/>
          <w:numId w:val="72"/>
        </w:numPr>
        <w:rPr>
          <w:rFonts w:hint="eastAsia"/>
          <w:color w:val="000000"/>
        </w:rPr>
      </w:pPr>
      <w:r>
        <w:rPr>
          <w:rFonts w:hint="eastAsia"/>
          <w:color w:val="000000"/>
        </w:rPr>
        <w:t>指导委托方建立安全生产标准化体系;</w:t>
      </w:r>
    </w:p>
    <w:p w14:paraId="7D69EBCC">
      <w:pPr>
        <w:pStyle w:val="65"/>
        <w:numPr>
          <w:ilvl w:val="0"/>
          <w:numId w:val="72"/>
        </w:numPr>
        <w:rPr>
          <w:rFonts w:hint="eastAsia"/>
          <w:color w:val="000000"/>
        </w:rPr>
      </w:pPr>
      <w:r>
        <w:rPr>
          <w:rFonts w:hint="eastAsia"/>
          <w:color w:val="000000"/>
        </w:rPr>
        <w:t>安全生产标准化体系运行指导;</w:t>
      </w:r>
    </w:p>
    <w:p w14:paraId="39329162">
      <w:pPr>
        <w:pStyle w:val="65"/>
        <w:numPr>
          <w:ilvl w:val="0"/>
          <w:numId w:val="72"/>
        </w:numPr>
        <w:rPr>
          <w:rFonts w:hint="eastAsia"/>
          <w:color w:val="000000"/>
        </w:rPr>
      </w:pPr>
      <w:r>
        <w:rPr>
          <w:rFonts w:hint="eastAsia"/>
          <w:color w:val="000000"/>
        </w:rPr>
        <w:t>项目安全生产标准化现场初查,出具问题清单及初查报告;</w:t>
      </w:r>
    </w:p>
    <w:p w14:paraId="0C1172F2">
      <w:pPr>
        <w:pStyle w:val="65"/>
        <w:numPr>
          <w:ilvl w:val="0"/>
          <w:numId w:val="72"/>
        </w:numPr>
        <w:rPr>
          <w:rFonts w:hint="eastAsia"/>
          <w:color w:val="000000"/>
        </w:rPr>
      </w:pPr>
      <w:r>
        <w:rPr>
          <w:rFonts w:hint="eastAsia"/>
          <w:color w:val="000000"/>
        </w:rPr>
        <w:t>根据项目施工进度情况,开展专项现场检查及技术辅导;</w:t>
      </w:r>
    </w:p>
    <w:p w14:paraId="56E64896">
      <w:pPr>
        <w:pStyle w:val="65"/>
        <w:numPr>
          <w:ilvl w:val="0"/>
          <w:numId w:val="72"/>
        </w:numPr>
        <w:rPr>
          <w:rFonts w:hint="eastAsia"/>
          <w:color w:val="000000"/>
        </w:rPr>
      </w:pPr>
      <w:r>
        <w:rPr>
          <w:rFonts w:hint="eastAsia"/>
          <w:color w:val="000000"/>
        </w:rPr>
        <w:t>指导问题整改及闭环</w:t>
      </w:r>
    </w:p>
    <w:p w14:paraId="0A0819C2">
      <w:pPr>
        <w:pStyle w:val="65"/>
        <w:numPr>
          <w:ilvl w:val="0"/>
          <w:numId w:val="72"/>
        </w:numPr>
        <w:rPr>
          <w:rFonts w:hint="eastAsia"/>
          <w:color w:val="000000"/>
        </w:rPr>
      </w:pPr>
      <w:r>
        <w:rPr>
          <w:rFonts w:hint="eastAsia"/>
          <w:lang w:val="en-US" w:eastAsia="zh-CN"/>
        </w:rPr>
        <w:t>协助委托方编制安全生产标准化自评报告</w:t>
      </w:r>
      <w:r>
        <w:rPr>
          <w:rFonts w:hint="eastAsia"/>
          <w:color w:val="000000"/>
        </w:rPr>
        <w:t>。</w:t>
      </w:r>
    </w:p>
    <w:p w14:paraId="58EE0571">
      <w:pPr>
        <w:pStyle w:val="66"/>
        <w:rPr>
          <w:rFonts w:hint="eastAsia"/>
          <w:color w:val="000000"/>
        </w:rPr>
      </w:pPr>
      <w:r>
        <w:rPr>
          <w:rFonts w:hint="eastAsia"/>
          <w:color w:val="000000"/>
        </w:rPr>
        <w:t>安全生产标准化达标评审主要工作内容应包括:</w:t>
      </w:r>
    </w:p>
    <w:p w14:paraId="124BB167">
      <w:pPr>
        <w:pStyle w:val="65"/>
        <w:numPr>
          <w:ilvl w:val="0"/>
          <w:numId w:val="73"/>
        </w:numPr>
        <w:rPr>
          <w:rFonts w:hint="eastAsia"/>
          <w:color w:val="000000"/>
        </w:rPr>
      </w:pPr>
      <w:r>
        <w:rPr>
          <w:rFonts w:hint="eastAsia"/>
          <w:color w:val="000000"/>
        </w:rPr>
        <w:t>核查目标职责情况;</w:t>
      </w:r>
    </w:p>
    <w:p w14:paraId="1EBD9FEA">
      <w:pPr>
        <w:pStyle w:val="65"/>
        <w:numPr>
          <w:ilvl w:val="0"/>
          <w:numId w:val="73"/>
        </w:numPr>
        <w:rPr>
          <w:rFonts w:hint="eastAsia"/>
          <w:color w:val="000000"/>
        </w:rPr>
      </w:pPr>
      <w:r>
        <w:rPr>
          <w:rFonts w:hint="eastAsia"/>
          <w:color w:val="000000"/>
        </w:rPr>
        <w:t>核查制度化管理情况;</w:t>
      </w:r>
    </w:p>
    <w:p w14:paraId="4D72630D">
      <w:pPr>
        <w:pStyle w:val="65"/>
        <w:numPr>
          <w:ilvl w:val="0"/>
          <w:numId w:val="73"/>
        </w:numPr>
        <w:rPr>
          <w:rFonts w:hint="eastAsia"/>
          <w:color w:val="000000"/>
        </w:rPr>
      </w:pPr>
      <w:r>
        <w:rPr>
          <w:rFonts w:hint="eastAsia"/>
          <w:color w:val="000000"/>
        </w:rPr>
        <w:t>核查教育培训情况;</w:t>
      </w:r>
    </w:p>
    <w:p w14:paraId="3837B8D4">
      <w:pPr>
        <w:pStyle w:val="65"/>
        <w:numPr>
          <w:ilvl w:val="0"/>
          <w:numId w:val="73"/>
        </w:numPr>
        <w:rPr>
          <w:rFonts w:hint="eastAsia"/>
          <w:color w:val="000000"/>
        </w:rPr>
      </w:pPr>
      <w:r>
        <w:rPr>
          <w:rFonts w:hint="eastAsia"/>
          <w:color w:val="000000"/>
        </w:rPr>
        <w:t>核查现场管理情况;</w:t>
      </w:r>
    </w:p>
    <w:p w14:paraId="1155BF4F">
      <w:pPr>
        <w:pStyle w:val="65"/>
        <w:numPr>
          <w:ilvl w:val="0"/>
          <w:numId w:val="73"/>
        </w:numPr>
        <w:rPr>
          <w:rFonts w:hint="eastAsia"/>
          <w:color w:val="000000"/>
        </w:rPr>
      </w:pPr>
      <w:r>
        <w:rPr>
          <w:rFonts w:hint="eastAsia"/>
          <w:color w:val="000000"/>
        </w:rPr>
        <w:t>核查安全风险管控及隐患排查治理情况;</w:t>
      </w:r>
    </w:p>
    <w:p w14:paraId="4A802C54">
      <w:pPr>
        <w:pStyle w:val="65"/>
        <w:numPr>
          <w:ilvl w:val="0"/>
          <w:numId w:val="73"/>
        </w:numPr>
        <w:rPr>
          <w:rFonts w:hint="eastAsia"/>
          <w:color w:val="000000"/>
        </w:rPr>
      </w:pPr>
      <w:r>
        <w:rPr>
          <w:rFonts w:hint="eastAsia"/>
          <w:color w:val="000000"/>
        </w:rPr>
        <w:t>核查应急管理情况;</w:t>
      </w:r>
    </w:p>
    <w:p w14:paraId="7E3B4EBD">
      <w:pPr>
        <w:pStyle w:val="65"/>
        <w:numPr>
          <w:ilvl w:val="0"/>
          <w:numId w:val="73"/>
        </w:numPr>
        <w:rPr>
          <w:rFonts w:hint="eastAsia"/>
          <w:color w:val="000000"/>
        </w:rPr>
      </w:pPr>
      <w:r>
        <w:rPr>
          <w:rFonts w:hint="eastAsia"/>
          <w:color w:val="000000"/>
        </w:rPr>
        <w:t>核查事故管理情况;</w:t>
      </w:r>
    </w:p>
    <w:p w14:paraId="1BDCBE7A">
      <w:pPr>
        <w:pStyle w:val="65"/>
        <w:numPr>
          <w:ilvl w:val="0"/>
          <w:numId w:val="73"/>
        </w:numPr>
        <w:rPr>
          <w:rFonts w:hint="eastAsia"/>
          <w:color w:val="000000"/>
        </w:rPr>
      </w:pPr>
      <w:r>
        <w:rPr>
          <w:rFonts w:hint="eastAsia"/>
          <w:color w:val="000000"/>
        </w:rPr>
        <w:t>核查持续改进情况。</w:t>
      </w:r>
    </w:p>
    <w:p w14:paraId="3D04ECA6">
      <w:pPr>
        <w:pStyle w:val="51"/>
        <w:spacing w:before="120" w:after="120"/>
        <w:rPr>
          <w:rFonts w:hint="eastAsia"/>
          <w:color w:val="000000"/>
        </w:rPr>
      </w:pPr>
      <w:bookmarkStart w:id="395" w:name="_Toc11860"/>
      <w:bookmarkStart w:id="396" w:name="_Toc4138"/>
      <w:r>
        <w:rPr>
          <w:rFonts w:hint="eastAsia"/>
          <w:color w:val="000000"/>
        </w:rPr>
        <w:t>质量提升咨询</w:t>
      </w:r>
      <w:bookmarkEnd w:id="395"/>
      <w:r>
        <w:commentReference w:id="26"/>
      </w:r>
      <w:bookmarkEnd w:id="396"/>
    </w:p>
    <w:p w14:paraId="736AE0BC">
      <w:pPr>
        <w:pStyle w:val="58"/>
        <w:spacing w:before="120" w:after="120"/>
        <w:rPr>
          <w:rFonts w:hint="eastAsia"/>
          <w:color w:val="000000"/>
        </w:rPr>
      </w:pPr>
      <w:r>
        <w:rPr>
          <w:rFonts w:hint="eastAsia"/>
          <w:color w:val="000000"/>
        </w:rPr>
        <w:t>一般规定</w:t>
      </w:r>
    </w:p>
    <w:p w14:paraId="00A79192">
      <w:pPr>
        <w:pStyle w:val="66"/>
        <w:rPr>
          <w:rFonts w:hint="eastAsia"/>
          <w:color w:val="000000"/>
        </w:rPr>
      </w:pPr>
      <w:r>
        <w:rPr>
          <w:rFonts w:hint="eastAsia"/>
          <w:color w:val="000000"/>
          <w:lang w:val="en-US" w:eastAsia="zh-CN"/>
        </w:rPr>
        <w:t>按照合同要求协助建设单位达到质量提升目标。</w:t>
      </w:r>
    </w:p>
    <w:p w14:paraId="52684040">
      <w:pPr>
        <w:pStyle w:val="66"/>
        <w:rPr>
          <w:rFonts w:hint="eastAsia" w:ascii="宋体" w:hAnsi="Times New Roman" w:eastAsia="宋体" w:cs="Times New Roman"/>
          <w:color w:val="000000"/>
        </w:rPr>
      </w:pPr>
      <w:r>
        <w:rPr>
          <w:rFonts w:hint="eastAsia" w:ascii="宋体" w:hAnsi="Times New Roman" w:eastAsia="宋体" w:cs="Times New Roman"/>
          <w:color w:val="000000"/>
          <w:sz w:val="21"/>
          <w:szCs w:val="20"/>
        </w:rPr>
        <w:t>指导建设单位依据评价维度统筹开展工程创优全流程管控工作。</w:t>
      </w:r>
    </w:p>
    <w:p w14:paraId="7343B455">
      <w:pPr>
        <w:pStyle w:val="66"/>
        <w:rPr>
          <w:rFonts w:hint="eastAsia" w:ascii="宋体" w:hAnsi="Times New Roman" w:eastAsia="宋体" w:cs="Times New Roman"/>
          <w:color w:val="000000"/>
        </w:rPr>
      </w:pPr>
      <w:r>
        <w:rPr>
          <w:rFonts w:hint="eastAsia" w:ascii="宋体" w:hAnsi="Times New Roman" w:eastAsia="宋体" w:cs="Times New Roman"/>
          <w:color w:val="000000"/>
          <w:sz w:val="21"/>
          <w:szCs w:val="20"/>
        </w:rPr>
        <w:t>依据现行电力行业创优相关标准规范开展创优策划、全过程创优技术管控、竣工预评价、创优申报与迎审辅导等工作</w:t>
      </w:r>
      <w:r>
        <w:rPr>
          <w:rFonts w:hint="eastAsia" w:ascii="宋体" w:hAnsi="Times New Roman" w:eastAsia="宋体" w:cs="Times New Roman"/>
          <w:color w:val="000000"/>
          <w:sz w:val="21"/>
          <w:szCs w:val="20"/>
          <w:lang w:eastAsia="zh-CN"/>
        </w:rPr>
        <w:t>。</w:t>
      </w:r>
    </w:p>
    <w:p w14:paraId="3CF9AA09">
      <w:pPr>
        <w:pStyle w:val="58"/>
        <w:spacing w:before="120" w:after="120"/>
        <w:rPr>
          <w:rFonts w:hint="eastAsia"/>
          <w:color w:val="000000"/>
        </w:rPr>
      </w:pPr>
      <w:r>
        <w:rPr>
          <w:rFonts w:hint="eastAsia"/>
          <w:color w:val="000000"/>
        </w:rPr>
        <w:t>质量提升咨询主要工作</w:t>
      </w:r>
    </w:p>
    <w:p w14:paraId="1B63069A">
      <w:pPr>
        <w:pStyle w:val="66"/>
        <w:rPr>
          <w:rFonts w:hint="eastAsia" w:ascii="宋体" w:hAnsi="Times New Roman" w:eastAsia="宋体" w:cs="Times New Roman"/>
          <w:color w:val="000000"/>
          <w:sz w:val="21"/>
          <w:lang w:val="en-US" w:eastAsia="zh-CN" w:bidi="ar-SA"/>
        </w:rPr>
      </w:pPr>
      <w:bookmarkStart w:id="397" w:name="heading_0"/>
      <w:r>
        <w:rPr>
          <w:rFonts w:hint="eastAsia" w:ascii="宋体" w:hAnsi="Times New Roman" w:eastAsia="宋体" w:cs="Times New Roman"/>
          <w:color w:val="000000"/>
          <w:sz w:val="21"/>
          <w:lang w:val="en-US" w:eastAsia="zh-CN" w:bidi="ar-SA"/>
        </w:rPr>
        <w:t>项目决策阶段</w:t>
      </w:r>
      <w:bookmarkEnd w:id="397"/>
    </w:p>
    <w:p w14:paraId="341C0F45">
      <w:pPr>
        <w:pStyle w:val="65"/>
        <w:numPr>
          <w:ilvl w:val="0"/>
          <w:numId w:val="74"/>
        </w:numPr>
        <w:tabs>
          <w:tab w:val="clear" w:pos="851"/>
        </w:tabs>
        <w:rPr>
          <w:rFonts w:hint="eastAsia" w:hAnsi="Times New Roman" w:eastAsia="宋体" w:cs="Times New Roman"/>
          <w:color w:val="000000"/>
        </w:rPr>
      </w:pPr>
      <w:r>
        <w:rPr>
          <w:rFonts w:hint="eastAsia" w:hAnsi="Times New Roman" w:eastAsia="宋体" w:cs="Times New Roman"/>
          <w:color w:val="000000"/>
        </w:rPr>
        <w:t>编制项目创优总体策划方案，明确各参建单位创优责任、阶段性节点、扣分风险点。</w:t>
      </w:r>
    </w:p>
    <w:p w14:paraId="32F60B6A">
      <w:pPr>
        <w:pStyle w:val="65"/>
        <w:numPr>
          <w:ilvl w:val="0"/>
          <w:numId w:val="74"/>
        </w:numPr>
        <w:tabs>
          <w:tab w:val="clear" w:pos="851"/>
        </w:tabs>
        <w:rPr>
          <w:rFonts w:hint="eastAsia" w:hAnsi="Times New Roman" w:eastAsia="宋体" w:cs="Times New Roman"/>
          <w:color w:val="000000"/>
        </w:rPr>
      </w:pPr>
      <w:r>
        <w:rPr>
          <w:rFonts w:hint="eastAsia" w:hAnsi="Times New Roman" w:eastAsia="宋体" w:cs="Times New Roman"/>
          <w:color w:val="000000"/>
        </w:rPr>
        <w:t>协助</w:t>
      </w:r>
      <w:r>
        <w:rPr>
          <w:rFonts w:hint="eastAsia" w:hAnsi="Times New Roman" w:eastAsia="宋体" w:cs="Times New Roman"/>
          <w:color w:val="000000"/>
          <w:lang w:val="en-US" w:eastAsia="zh-CN"/>
        </w:rPr>
        <w:t>建设单位</w:t>
      </w:r>
      <w:r>
        <w:rPr>
          <w:rFonts w:hint="eastAsia" w:hAnsi="Times New Roman" w:eastAsia="宋体" w:cs="Times New Roman"/>
          <w:color w:val="000000"/>
        </w:rPr>
        <w:t>办理立项、规划、用地、环评、水保、质量监督、消防等全部法定手续，建立合规文件台账，动态更新法律法规、强制性标准清单，从源头消除合规扣分隐患。</w:t>
      </w:r>
    </w:p>
    <w:p w14:paraId="1A4F2D02">
      <w:pPr>
        <w:pStyle w:val="66"/>
        <w:rPr>
          <w:rFonts w:hint="eastAsia" w:ascii="宋体" w:hAnsi="Times New Roman" w:eastAsia="宋体" w:cs="Times New Roman"/>
          <w:color w:val="000000"/>
          <w:sz w:val="21"/>
          <w:lang w:val="en-US" w:eastAsia="zh-CN" w:bidi="ar-SA"/>
        </w:rPr>
      </w:pPr>
      <w:bookmarkStart w:id="398" w:name="heading_1"/>
      <w:r>
        <w:rPr>
          <w:rFonts w:hint="eastAsia" w:ascii="宋体" w:hAnsi="Times New Roman" w:eastAsia="宋体" w:cs="Times New Roman"/>
          <w:color w:val="000000"/>
          <w:sz w:val="21"/>
          <w:lang w:val="en-US" w:eastAsia="zh-CN" w:bidi="ar-SA"/>
        </w:rPr>
        <w:t>勘察设计阶段</w:t>
      </w:r>
      <w:bookmarkEnd w:id="398"/>
    </w:p>
    <w:p w14:paraId="2C4CB18D">
      <w:pPr>
        <w:pStyle w:val="65"/>
        <w:numPr>
          <w:ilvl w:val="0"/>
          <w:numId w:val="75"/>
        </w:numPr>
        <w:rPr>
          <w:rFonts w:hint="eastAsia" w:hAnsi="Times New Roman" w:eastAsia="宋体" w:cs="Times New Roman"/>
          <w:color w:val="000000"/>
        </w:rPr>
      </w:pPr>
      <w:r>
        <w:rPr>
          <w:rFonts w:hint="eastAsia" w:hAnsi="Times New Roman" w:eastAsia="宋体" w:cs="Times New Roman"/>
          <w:color w:val="000000"/>
        </w:rPr>
        <w:t>审核勘察设计单位创优方案，组织方案评审，优化管母、电缆、建筑细部工艺，兼顾观感美观与运维便利。</w:t>
      </w:r>
    </w:p>
    <w:p w14:paraId="3D3607B9">
      <w:pPr>
        <w:pStyle w:val="65"/>
        <w:numPr>
          <w:ilvl w:val="0"/>
          <w:numId w:val="75"/>
        </w:numPr>
        <w:rPr>
          <w:rFonts w:hint="eastAsia" w:hAnsi="Times New Roman" w:eastAsia="宋体" w:cs="Times New Roman"/>
          <w:color w:val="000000"/>
        </w:rPr>
      </w:pPr>
      <w:r>
        <w:rPr>
          <w:rFonts w:hint="eastAsia" w:hAnsi="Times New Roman" w:eastAsia="宋体" w:cs="Times New Roman"/>
          <w:color w:val="000000"/>
        </w:rPr>
        <w:t>推动设计应用电力 “五新”、BIM 协同设计、智能变电站</w:t>
      </w:r>
      <w:r>
        <w:rPr>
          <w:rFonts w:hint="eastAsia" w:hAnsi="Times New Roman" w:eastAsia="宋体" w:cs="Times New Roman"/>
          <w:color w:val="000000"/>
          <w:lang w:val="en-US" w:eastAsia="zh-CN"/>
        </w:rPr>
        <w:t>等创新</w:t>
      </w:r>
      <w:r>
        <w:rPr>
          <w:rFonts w:hint="eastAsia" w:hAnsi="Times New Roman" w:eastAsia="宋体" w:cs="Times New Roman"/>
          <w:color w:val="000000"/>
        </w:rPr>
        <w:t>技术，为绿色建造、科技创新得分提供支撑。</w:t>
      </w:r>
    </w:p>
    <w:p w14:paraId="09D937EF">
      <w:pPr>
        <w:pStyle w:val="65"/>
        <w:numPr>
          <w:ilvl w:val="0"/>
          <w:numId w:val="75"/>
        </w:numPr>
        <w:rPr>
          <w:rFonts w:hint="eastAsia" w:hAnsi="Times New Roman" w:eastAsia="宋体" w:cs="Times New Roman"/>
          <w:color w:val="000000"/>
        </w:rPr>
      </w:pPr>
      <w:r>
        <w:rPr>
          <w:rFonts w:hint="eastAsia" w:hAnsi="Times New Roman" w:eastAsia="宋体" w:cs="Times New Roman"/>
          <w:color w:val="000000"/>
          <w:lang w:val="en-US" w:eastAsia="zh-CN"/>
        </w:rPr>
        <w:t>组织设计单位</w:t>
      </w:r>
      <w:r>
        <w:rPr>
          <w:rFonts w:hint="eastAsia" w:hAnsi="Times New Roman" w:eastAsia="宋体" w:cs="Times New Roman"/>
          <w:color w:val="000000"/>
        </w:rPr>
        <w:t>开展绿色设计技术经济可行性分析，</w:t>
      </w:r>
      <w:r>
        <w:rPr>
          <w:rFonts w:hint="eastAsia" w:hAnsi="Times New Roman" w:eastAsia="宋体" w:cs="Times New Roman"/>
          <w:color w:val="000000"/>
          <w:lang w:val="en-US" w:eastAsia="zh-CN"/>
        </w:rPr>
        <w:t>审核设计单位</w:t>
      </w:r>
      <w:r>
        <w:rPr>
          <w:rFonts w:hint="eastAsia" w:hAnsi="Times New Roman" w:eastAsia="宋体" w:cs="Times New Roman"/>
          <w:color w:val="000000"/>
        </w:rPr>
        <w:t>编制</w:t>
      </w:r>
      <w:r>
        <w:rPr>
          <w:rFonts w:hint="eastAsia" w:hAnsi="Times New Roman" w:eastAsia="宋体" w:cs="Times New Roman"/>
          <w:color w:val="000000"/>
          <w:lang w:val="en-US" w:eastAsia="zh-CN"/>
        </w:rPr>
        <w:t>的</w:t>
      </w:r>
      <w:r>
        <w:rPr>
          <w:rFonts w:hint="eastAsia" w:hAnsi="Times New Roman" w:eastAsia="宋体" w:cs="Times New Roman"/>
          <w:color w:val="000000"/>
        </w:rPr>
        <w:t>设计策划文件将绿色理念融入工艺选型、总平面布置、设备配置等关键环节。</w:t>
      </w:r>
    </w:p>
    <w:p w14:paraId="49051484">
      <w:pPr>
        <w:pStyle w:val="65"/>
        <w:numPr>
          <w:ilvl w:val="0"/>
          <w:numId w:val="75"/>
        </w:numPr>
        <w:rPr>
          <w:rFonts w:hint="eastAsia" w:hAnsi="Times New Roman" w:eastAsia="宋体" w:cs="Times New Roman"/>
          <w:color w:val="000000"/>
        </w:rPr>
      </w:pPr>
      <w:r>
        <w:rPr>
          <w:rFonts w:hint="eastAsia" w:hAnsi="Times New Roman" w:eastAsia="宋体" w:cs="Times New Roman"/>
          <w:color w:val="000000"/>
        </w:rPr>
        <w:t>梳理工程技术难点，策划科研课题、QC 小组、工法、专利、软件著作权、行业 / 省部级科技奖项、标准编制计划，</w:t>
      </w:r>
      <w:r>
        <w:rPr>
          <w:rFonts w:hint="eastAsia" w:hAnsi="Times New Roman" w:eastAsia="宋体" w:cs="Times New Roman"/>
          <w:color w:val="000000"/>
          <w:lang w:val="en-US" w:eastAsia="zh-CN"/>
        </w:rPr>
        <w:t>并</w:t>
      </w:r>
      <w:r>
        <w:rPr>
          <w:rFonts w:hint="eastAsia" w:hAnsi="Times New Roman" w:eastAsia="宋体" w:cs="Times New Roman"/>
          <w:color w:val="000000"/>
        </w:rPr>
        <w:t>同步纳入设计、施工任务书。</w:t>
      </w:r>
    </w:p>
    <w:p w14:paraId="6BC66A11">
      <w:pPr>
        <w:pStyle w:val="66"/>
        <w:rPr>
          <w:rFonts w:hint="eastAsia" w:ascii="宋体" w:hAnsi="Times New Roman" w:eastAsia="宋体" w:cs="Times New Roman"/>
          <w:color w:val="000000"/>
          <w:sz w:val="21"/>
          <w:lang w:val="en-US" w:eastAsia="zh-CN" w:bidi="ar-SA"/>
        </w:rPr>
      </w:pPr>
      <w:bookmarkStart w:id="399" w:name="heading_6"/>
      <w:r>
        <w:rPr>
          <w:rFonts w:hint="eastAsia" w:ascii="宋体" w:hAnsi="Times New Roman" w:eastAsia="宋体" w:cs="Times New Roman"/>
          <w:color w:val="000000"/>
          <w:sz w:val="21"/>
          <w:lang w:val="en-US" w:eastAsia="zh-CN" w:bidi="ar-SA"/>
        </w:rPr>
        <w:t>施工阶段</w:t>
      </w:r>
      <w:bookmarkEnd w:id="399"/>
    </w:p>
    <w:p w14:paraId="2738A919">
      <w:pPr>
        <w:pStyle w:val="65"/>
        <w:numPr>
          <w:ilvl w:val="0"/>
          <w:numId w:val="76"/>
        </w:numPr>
        <w:rPr>
          <w:rFonts w:hint="eastAsia" w:hAnsi="Times New Roman" w:eastAsia="宋体" w:cs="Times New Roman"/>
          <w:color w:val="000000"/>
        </w:rPr>
      </w:pPr>
      <w:r>
        <w:rPr>
          <w:rFonts w:hint="eastAsia" w:hAnsi="Times New Roman" w:eastAsia="宋体" w:cs="Times New Roman"/>
          <w:color w:val="000000"/>
        </w:rPr>
        <w:t>监督</w:t>
      </w:r>
      <w:r>
        <w:rPr>
          <w:rFonts w:hint="eastAsia" w:hAnsi="Times New Roman" w:eastAsia="宋体" w:cs="Times New Roman"/>
          <w:color w:val="000000"/>
          <w:lang w:val="en-US" w:eastAsia="zh-CN"/>
        </w:rPr>
        <w:t>设计、施工、监理</w:t>
      </w:r>
      <w:r>
        <w:rPr>
          <w:rFonts w:hint="eastAsia" w:hAnsi="Times New Roman" w:eastAsia="宋体" w:cs="Times New Roman"/>
          <w:color w:val="000000"/>
        </w:rPr>
        <w:t>单位健全质量、安全、绿色、档案、创新管理体系</w:t>
      </w:r>
      <w:r>
        <w:rPr>
          <w:rFonts w:hint="eastAsia" w:hAnsi="Times New Roman" w:eastAsia="宋体" w:cs="Times New Roman"/>
          <w:color w:val="000000"/>
          <w:lang w:eastAsia="zh-CN"/>
        </w:rPr>
        <w:t>，</w:t>
      </w:r>
      <w:r>
        <w:rPr>
          <w:rFonts w:hint="eastAsia" w:hAnsi="Times New Roman" w:eastAsia="宋体" w:cs="Times New Roman"/>
          <w:color w:val="000000"/>
        </w:rPr>
        <w:t>组织月度创优例会、阶段性创优自查，对照导则评分表逐项打分，形成问题整改闭环台账。</w:t>
      </w:r>
    </w:p>
    <w:p w14:paraId="706D8DBA">
      <w:pPr>
        <w:pStyle w:val="65"/>
        <w:numPr>
          <w:ilvl w:val="0"/>
          <w:numId w:val="76"/>
        </w:numPr>
        <w:rPr>
          <w:rFonts w:hint="eastAsia" w:hAnsi="Times New Roman" w:eastAsia="宋体" w:cs="Times New Roman"/>
          <w:color w:val="000000"/>
        </w:rPr>
      </w:pPr>
      <w:r>
        <w:rPr>
          <w:rFonts w:hint="eastAsia" w:hAnsi="Times New Roman" w:eastAsia="宋体" w:cs="Times New Roman"/>
          <w:color w:val="000000"/>
        </w:rPr>
        <w:t>制定统一档案创优细则，同步指导</w:t>
      </w:r>
      <w:r>
        <w:rPr>
          <w:rFonts w:hint="eastAsia" w:hAnsi="Times New Roman" w:eastAsia="宋体" w:cs="Times New Roman"/>
          <w:color w:val="000000"/>
          <w:lang w:val="en-US" w:eastAsia="zh-CN"/>
        </w:rPr>
        <w:t>设计、施工、监理</w:t>
      </w:r>
      <w:r>
        <w:rPr>
          <w:rFonts w:hint="eastAsia" w:hAnsi="Times New Roman" w:eastAsia="宋体" w:cs="Times New Roman"/>
          <w:color w:val="000000"/>
        </w:rPr>
        <w:t>同步收集资料</w:t>
      </w:r>
      <w:r>
        <w:rPr>
          <w:rFonts w:hint="eastAsia" w:hAnsi="Times New Roman" w:eastAsia="宋体" w:cs="Times New Roman"/>
          <w:color w:val="000000"/>
          <w:lang w:eastAsia="zh-CN"/>
        </w:rPr>
        <w:t>，</w:t>
      </w:r>
      <w:r>
        <w:rPr>
          <w:rFonts w:hint="eastAsia" w:hAnsi="Times New Roman" w:eastAsia="宋体" w:cs="Times New Roman"/>
          <w:color w:val="000000"/>
        </w:rPr>
        <w:t>统筹电子档案数字化归档，满足档案信息化要求。</w:t>
      </w:r>
    </w:p>
    <w:p w14:paraId="48ACB247">
      <w:pPr>
        <w:pStyle w:val="65"/>
        <w:numPr>
          <w:ilvl w:val="0"/>
          <w:numId w:val="76"/>
        </w:numPr>
        <w:rPr>
          <w:rFonts w:hint="eastAsia" w:hAnsi="Times New Roman" w:eastAsia="宋体" w:cs="Times New Roman"/>
          <w:color w:val="000000"/>
        </w:rPr>
      </w:pPr>
      <w:r>
        <w:rPr>
          <w:rFonts w:hint="eastAsia" w:hAnsi="Times New Roman" w:eastAsia="宋体" w:cs="Times New Roman"/>
          <w:color w:val="000000"/>
          <w:lang w:val="en-US" w:eastAsia="zh-CN"/>
        </w:rPr>
        <w:t>定期组织各参建单位对工程实体质量、绿色建造、科技创新等评价维度进行专项检查，</w:t>
      </w:r>
      <w:r>
        <w:rPr>
          <w:rFonts w:hint="eastAsia" w:hAnsi="Times New Roman" w:eastAsia="宋体" w:cs="Times New Roman"/>
          <w:color w:val="000000"/>
        </w:rPr>
        <w:t>提出检查发现的问题、建议，指导各参建单位改进，并做到问题闭环跟踪</w:t>
      </w:r>
    </w:p>
    <w:p w14:paraId="362F0955">
      <w:pPr>
        <w:pStyle w:val="66"/>
        <w:rPr>
          <w:rFonts w:hint="eastAsia" w:ascii="宋体" w:hAnsi="Times New Roman" w:eastAsia="宋体" w:cs="Times New Roman"/>
          <w:color w:val="000000"/>
          <w:sz w:val="21"/>
          <w:lang w:val="en-US" w:eastAsia="zh-CN" w:bidi="ar-SA"/>
        </w:rPr>
      </w:pPr>
      <w:bookmarkStart w:id="400" w:name="heading_12"/>
      <w:r>
        <w:rPr>
          <w:rFonts w:hint="eastAsia" w:ascii="宋体" w:hAnsi="Times New Roman" w:eastAsia="宋体" w:cs="Times New Roman"/>
          <w:color w:val="000000"/>
          <w:sz w:val="21"/>
          <w:lang w:val="en-US" w:eastAsia="zh-CN" w:bidi="ar-SA"/>
        </w:rPr>
        <w:t>竣工验收阶段</w:t>
      </w:r>
      <w:bookmarkEnd w:id="400"/>
    </w:p>
    <w:p w14:paraId="4744F670">
      <w:pPr>
        <w:pStyle w:val="65"/>
        <w:numPr>
          <w:ilvl w:val="0"/>
          <w:numId w:val="77"/>
        </w:numPr>
        <w:rPr>
          <w:rFonts w:hint="eastAsia" w:hAnsi="Times New Roman" w:eastAsia="宋体" w:cs="Times New Roman"/>
          <w:color w:val="000000"/>
        </w:rPr>
      </w:pPr>
      <w:r>
        <w:rPr>
          <w:rFonts w:hint="eastAsia" w:hAnsi="Times New Roman" w:eastAsia="宋体" w:cs="Times New Roman"/>
          <w:color w:val="000000"/>
        </w:rPr>
        <w:t>组织</w:t>
      </w:r>
      <w:r>
        <w:rPr>
          <w:rFonts w:hint="eastAsia" w:hAnsi="Times New Roman" w:eastAsia="宋体" w:cs="Times New Roman"/>
          <w:color w:val="000000"/>
          <w:lang w:val="en-US" w:eastAsia="zh-CN"/>
        </w:rPr>
        <w:t>各参建单位根据评分表</w:t>
      </w:r>
      <w:r>
        <w:rPr>
          <w:rFonts w:hint="eastAsia" w:hAnsi="Times New Roman" w:eastAsia="宋体" w:cs="Times New Roman"/>
          <w:color w:val="000000"/>
        </w:rPr>
        <w:t>全面自查，逐项打分，梳理实体质量瑕疵、资料缺项、创新佐证不足、绿色建造资料缺失等问题，建立创优消缺清单，限期闭环复查销项。</w:t>
      </w:r>
    </w:p>
    <w:p w14:paraId="50575AB3">
      <w:pPr>
        <w:pStyle w:val="65"/>
        <w:numPr>
          <w:ilvl w:val="0"/>
          <w:numId w:val="77"/>
        </w:numPr>
        <w:rPr>
          <w:rFonts w:hint="eastAsia" w:hAnsi="Times New Roman" w:eastAsia="宋体" w:cs="Times New Roman"/>
          <w:color w:val="000000"/>
        </w:rPr>
      </w:pPr>
      <w:r>
        <w:rPr>
          <w:rFonts w:hint="eastAsia" w:hAnsi="Times New Roman" w:eastAsia="宋体" w:cs="Times New Roman"/>
          <w:color w:val="000000"/>
        </w:rPr>
        <w:t>统一梳理合规手续、管理资料、实体试验检测、创新成果</w:t>
      </w:r>
      <w:r>
        <w:rPr>
          <w:rFonts w:hint="eastAsia" w:hAnsi="Times New Roman" w:eastAsia="宋体" w:cs="Times New Roman"/>
          <w:color w:val="000000"/>
          <w:lang w:val="en-US" w:eastAsia="zh-CN"/>
        </w:rPr>
        <w:t>等</w:t>
      </w:r>
      <w:r>
        <w:rPr>
          <w:rFonts w:hint="eastAsia" w:hAnsi="Times New Roman" w:eastAsia="宋体" w:cs="Times New Roman"/>
          <w:color w:val="000000"/>
        </w:rPr>
        <w:t>成套申报资料</w:t>
      </w:r>
      <w:r>
        <w:rPr>
          <w:rFonts w:hint="eastAsia" w:hAnsi="Times New Roman" w:eastAsia="宋体" w:cs="Times New Roman"/>
          <w:color w:val="000000"/>
          <w:lang w:eastAsia="zh-CN"/>
        </w:rPr>
        <w:t>，</w:t>
      </w:r>
      <w:r>
        <w:rPr>
          <w:rFonts w:hint="eastAsia" w:hAnsi="Times New Roman" w:eastAsia="宋体" w:cs="Times New Roman"/>
          <w:color w:val="000000"/>
        </w:rPr>
        <w:t>同步整理创优影像、工艺亮点图集、汇报素材。</w:t>
      </w:r>
    </w:p>
    <w:p w14:paraId="3F786A77">
      <w:pPr>
        <w:pStyle w:val="65"/>
        <w:numPr>
          <w:ilvl w:val="0"/>
          <w:numId w:val="77"/>
        </w:numPr>
        <w:rPr>
          <w:rFonts w:hint="eastAsia" w:hAnsi="Times New Roman" w:eastAsia="宋体" w:cs="Times New Roman"/>
          <w:color w:val="000000"/>
        </w:rPr>
      </w:pPr>
      <w:r>
        <w:rPr>
          <w:rFonts w:hint="eastAsia" w:hAnsi="Times New Roman" w:eastAsia="宋体" w:cs="Times New Roman"/>
          <w:color w:val="000000"/>
          <w:lang w:val="en-US" w:eastAsia="zh-CN"/>
        </w:rPr>
        <w:t>组织各参建单位</w:t>
      </w:r>
      <w:r>
        <w:rPr>
          <w:rFonts w:hint="eastAsia" w:hAnsi="Times New Roman" w:eastAsia="宋体" w:cs="Times New Roman"/>
          <w:color w:val="000000"/>
        </w:rPr>
        <w:t>提炼工程亮点、创新成果、绿色建造成效、社会价值</w:t>
      </w:r>
      <w:r>
        <w:rPr>
          <w:rFonts w:hint="eastAsia" w:hAnsi="Times New Roman" w:eastAsia="宋体" w:cs="Times New Roman"/>
          <w:color w:val="000000"/>
          <w:lang w:eastAsia="zh-CN"/>
        </w:rPr>
        <w:t>。</w:t>
      </w:r>
    </w:p>
    <w:p w14:paraId="30C56DCB">
      <w:pPr>
        <w:pStyle w:val="65"/>
        <w:numPr>
          <w:ilvl w:val="0"/>
          <w:numId w:val="77"/>
        </w:numPr>
        <w:rPr>
          <w:rFonts w:hint="eastAsia" w:hAnsi="Times New Roman" w:eastAsia="宋体" w:cs="Times New Roman"/>
          <w:color w:val="000000"/>
          <w:lang w:eastAsia="zh-CN"/>
        </w:rPr>
      </w:pPr>
      <w:r>
        <w:rPr>
          <w:rFonts w:hint="eastAsia" w:hAnsi="Times New Roman" w:eastAsia="宋体" w:cs="Times New Roman"/>
          <w:color w:val="000000"/>
          <w:lang w:val="en-US" w:eastAsia="zh-CN"/>
        </w:rPr>
        <w:t>组织</w:t>
      </w:r>
      <w:r>
        <w:rPr>
          <w:rFonts w:hint="eastAsia" w:hAnsi="Times New Roman" w:eastAsia="宋体" w:cs="Times New Roman"/>
          <w:color w:val="000000"/>
        </w:rPr>
        <w:t>编制创优申报书、自评报告，</w:t>
      </w:r>
      <w:r>
        <w:rPr>
          <w:rFonts w:hint="eastAsia" w:hAnsi="Times New Roman" w:eastAsia="宋体" w:cs="Times New Roman"/>
          <w:color w:val="000000"/>
          <w:lang w:val="en-US" w:eastAsia="zh-CN"/>
        </w:rPr>
        <w:t>按评价</w:t>
      </w:r>
      <w:r>
        <w:rPr>
          <w:rFonts w:hint="eastAsia" w:hAnsi="Times New Roman" w:eastAsia="宋体" w:cs="Times New Roman"/>
          <w:color w:val="000000"/>
        </w:rPr>
        <w:t>维度完整归集全部佐证材料</w:t>
      </w:r>
      <w:r>
        <w:rPr>
          <w:rFonts w:hint="eastAsia" w:hAnsi="Times New Roman" w:eastAsia="宋体" w:cs="Times New Roman"/>
          <w:color w:val="000000"/>
          <w:lang w:eastAsia="zh-CN"/>
        </w:rPr>
        <w:t>，</w:t>
      </w:r>
      <w:r>
        <w:rPr>
          <w:rFonts w:hint="eastAsia" w:hAnsi="Times New Roman" w:eastAsia="宋体" w:cs="Times New Roman"/>
          <w:color w:val="000000"/>
        </w:rPr>
        <w:t>协助业主完成线上平台申报、纸质资料报送。</w:t>
      </w:r>
    </w:p>
    <w:p w14:paraId="49360752">
      <w:pPr>
        <w:pStyle w:val="51"/>
        <w:numPr>
          <w:ilvl w:val="2"/>
          <w:numId w:val="14"/>
        </w:numPr>
        <w:spacing w:before="120" w:after="120"/>
        <w:rPr>
          <w:rFonts w:hint="eastAsia"/>
          <w:color w:val="000000"/>
        </w:rPr>
      </w:pPr>
      <w:bookmarkStart w:id="401" w:name="_Toc17095"/>
      <w:bookmarkStart w:id="402" w:name="_Toc23142"/>
      <w:r>
        <w:rPr>
          <w:rFonts w:hint="eastAsia"/>
          <w:color w:val="000000"/>
        </w:rPr>
        <w:t>设计评审</w:t>
      </w:r>
      <w:r>
        <w:commentReference w:id="27"/>
      </w:r>
      <w:bookmarkEnd w:id="401"/>
      <w:r>
        <w:rPr>
          <w:rFonts w:hint="eastAsia"/>
          <w:color w:val="000000"/>
        </w:rPr>
        <w:t xml:space="preserve"> </w:t>
      </w:r>
    </w:p>
    <w:p w14:paraId="4252D2DD">
      <w:pPr>
        <w:pStyle w:val="58"/>
        <w:numPr>
          <w:ilvl w:val="3"/>
          <w:numId w:val="14"/>
        </w:numPr>
        <w:spacing w:before="120" w:after="120"/>
        <w:rPr>
          <w:rFonts w:hint="eastAsia"/>
          <w:color w:val="000000"/>
        </w:rPr>
      </w:pPr>
      <w:r>
        <w:rPr>
          <w:rFonts w:hint="eastAsia"/>
          <w:color w:val="000000"/>
        </w:rPr>
        <w:t xml:space="preserve">一般规定 </w:t>
      </w:r>
    </w:p>
    <w:p w14:paraId="03B2E17C">
      <w:pPr>
        <w:pStyle w:val="66"/>
        <w:numPr>
          <w:ilvl w:val="4"/>
          <w:numId w:val="14"/>
        </w:numPr>
        <w:rPr>
          <w:rFonts w:hint="eastAsia"/>
          <w:color w:val="000000"/>
        </w:rPr>
      </w:pPr>
      <w:r>
        <w:rPr>
          <w:rFonts w:hint="eastAsia"/>
          <w:color w:val="000000"/>
        </w:rPr>
        <w:t>工程设计评审主要包括可行性研究评审、初步设计评审和施工图设计评审等工作。</w:t>
      </w:r>
    </w:p>
    <w:p w14:paraId="53E49CAF">
      <w:pPr>
        <w:pStyle w:val="66"/>
        <w:numPr>
          <w:ilvl w:val="4"/>
          <w:numId w:val="14"/>
        </w:numPr>
        <w:rPr>
          <w:rFonts w:hint="eastAsia"/>
          <w:color w:val="000000"/>
        </w:rPr>
      </w:pPr>
      <w:r>
        <w:rPr>
          <w:rFonts w:hint="eastAsia"/>
          <w:color w:val="000000"/>
        </w:rPr>
        <w:t>设计评审应执行国家规定的基本建设程序,符合国家有关法律法规和现行工程建设标准规范,符合电力行业技术标准及相关规定。</w:t>
      </w:r>
    </w:p>
    <w:p w14:paraId="6F5DC9FE">
      <w:pPr>
        <w:pStyle w:val="66"/>
        <w:numPr>
          <w:ilvl w:val="4"/>
          <w:numId w:val="14"/>
        </w:numPr>
        <w:rPr>
          <w:rFonts w:hint="eastAsia"/>
          <w:color w:val="000000"/>
        </w:rPr>
      </w:pPr>
      <w:r>
        <w:rPr>
          <w:rFonts w:hint="eastAsia"/>
          <w:color w:val="000000"/>
        </w:rPr>
        <w:t>初步设计评审应在工程取得核准和可行性研究批复文件后开展,施工图设计评审应在工程取得初步设计批复文件后开展。</w:t>
      </w:r>
    </w:p>
    <w:p w14:paraId="38E5DA18">
      <w:pPr>
        <w:pStyle w:val="66"/>
        <w:numPr>
          <w:ilvl w:val="4"/>
          <w:numId w:val="14"/>
        </w:numPr>
        <w:rPr>
          <w:rFonts w:hint="eastAsia"/>
          <w:color w:val="000000"/>
        </w:rPr>
      </w:pPr>
      <w:r>
        <w:rPr>
          <w:rFonts w:hint="eastAsia"/>
          <w:color w:val="000000"/>
        </w:rPr>
        <w:t>设计评审完成后，应形成设计评审成果文件。设计评审成果文件可包括设计评审报告、专家评审意见、评审意见落实情况说明等，并应明确评审结论、存在问题及改进建议。评审成果文件应作为工程设计优化、设计审批及后续阶段设计工作的依据</w:t>
      </w:r>
      <w:r>
        <w:rPr>
          <w:rFonts w:hint="eastAsia"/>
          <w:color w:val="000000"/>
          <w:lang w:eastAsia="zh-CN"/>
        </w:rPr>
        <w:t>。</w:t>
      </w:r>
    </w:p>
    <w:p w14:paraId="68AAB6CB">
      <w:pPr>
        <w:pStyle w:val="58"/>
        <w:numPr>
          <w:ilvl w:val="3"/>
          <w:numId w:val="14"/>
        </w:numPr>
        <w:spacing w:before="120" w:after="120"/>
        <w:rPr>
          <w:rFonts w:hint="eastAsia"/>
          <w:color w:val="000000"/>
        </w:rPr>
      </w:pPr>
      <w:r>
        <w:rPr>
          <w:rFonts w:hint="eastAsia"/>
          <w:color w:val="000000"/>
        </w:rPr>
        <w:t xml:space="preserve">设计评审主要工作 </w:t>
      </w:r>
    </w:p>
    <w:p w14:paraId="1C529856">
      <w:pPr>
        <w:pStyle w:val="66"/>
        <w:numPr>
          <w:ilvl w:val="4"/>
          <w:numId w:val="14"/>
        </w:numPr>
        <w:rPr>
          <w:rFonts w:hint="eastAsia"/>
          <w:color w:val="000000"/>
        </w:rPr>
      </w:pPr>
      <w:r>
        <w:rPr>
          <w:rFonts w:hint="eastAsia"/>
          <w:color w:val="000000"/>
        </w:rPr>
        <w:t>可行性研究报告评审要点应包括下列主要内容:</w:t>
      </w:r>
    </w:p>
    <w:p w14:paraId="2349F80F">
      <w:pPr>
        <w:pStyle w:val="65"/>
        <w:numPr>
          <w:ilvl w:val="0"/>
          <w:numId w:val="78"/>
        </w:numPr>
        <w:rPr>
          <w:rFonts w:hint="eastAsia"/>
          <w:color w:val="000000"/>
        </w:rPr>
      </w:pPr>
      <w:r>
        <w:rPr>
          <w:rFonts w:hint="eastAsia"/>
          <w:color w:val="000000"/>
        </w:rPr>
        <w:t>可行性研究总体方案符合地方国民经济规划、电网规划、接入系统设计审查意见;</w:t>
      </w:r>
    </w:p>
    <w:p w14:paraId="5F6FE5A5">
      <w:pPr>
        <w:pStyle w:val="65"/>
        <w:numPr>
          <w:ilvl w:val="0"/>
          <w:numId w:val="78"/>
        </w:numPr>
        <w:rPr>
          <w:rFonts w:hint="eastAsia"/>
          <w:color w:val="000000"/>
        </w:rPr>
      </w:pPr>
      <w:r>
        <w:rPr>
          <w:rFonts w:hint="eastAsia"/>
          <w:color w:val="000000"/>
        </w:rPr>
        <w:t>可行性研究报告、技术文件、相关图纸、专题报告、勘测报告设备清册、估算书等内容完整且满足深度规定要求;</w:t>
      </w:r>
    </w:p>
    <w:p w14:paraId="1D440425">
      <w:pPr>
        <w:pStyle w:val="65"/>
        <w:numPr>
          <w:ilvl w:val="0"/>
          <w:numId w:val="78"/>
        </w:numPr>
        <w:rPr>
          <w:rFonts w:hint="eastAsia"/>
          <w:color w:val="000000"/>
        </w:rPr>
      </w:pPr>
      <w:r>
        <w:rPr>
          <w:rFonts w:hint="eastAsia"/>
          <w:color w:val="000000"/>
        </w:rPr>
        <w:t>可行性研究报告确定的负荷等级、负荷容量应合理,光伏发电站内各类建筑电气系统的布置及主要设备材料选型满足要求;</w:t>
      </w:r>
    </w:p>
    <w:p w14:paraId="316EC8A2">
      <w:pPr>
        <w:pStyle w:val="65"/>
        <w:numPr>
          <w:ilvl w:val="0"/>
          <w:numId w:val="78"/>
        </w:numPr>
        <w:rPr>
          <w:rFonts w:hint="eastAsia"/>
          <w:color w:val="000000"/>
        </w:rPr>
      </w:pPr>
      <w:r>
        <w:rPr>
          <w:rFonts w:hint="eastAsia"/>
          <w:color w:val="000000"/>
        </w:rPr>
        <w:t>节能、节水设计符合国家有关规定;</w:t>
      </w:r>
    </w:p>
    <w:p w14:paraId="3C5855D3">
      <w:pPr>
        <w:pStyle w:val="65"/>
        <w:numPr>
          <w:ilvl w:val="0"/>
          <w:numId w:val="78"/>
        </w:numPr>
        <w:rPr>
          <w:rFonts w:hint="eastAsia"/>
          <w:color w:val="000000"/>
        </w:rPr>
      </w:pPr>
      <w:r>
        <w:rPr>
          <w:rFonts w:hint="eastAsia"/>
          <w:color w:val="000000"/>
        </w:rPr>
        <w:t>环境影响评价的方法正确,对相关环境影响因素的识别全面,提出的治理措施经济可行;</w:t>
      </w:r>
    </w:p>
    <w:p w14:paraId="71E14729">
      <w:pPr>
        <w:pStyle w:val="65"/>
        <w:numPr>
          <w:ilvl w:val="0"/>
          <w:numId w:val="78"/>
        </w:numPr>
        <w:rPr>
          <w:rFonts w:hint="eastAsia"/>
          <w:color w:val="000000"/>
        </w:rPr>
      </w:pPr>
      <w:r>
        <w:rPr>
          <w:rFonts w:hint="eastAsia"/>
          <w:color w:val="000000"/>
        </w:rPr>
        <w:t>投资估算的编制依据、方法等正确,主要技术经济指标合理,各类资金来源可靠。</w:t>
      </w:r>
    </w:p>
    <w:p w14:paraId="1D7B74DE">
      <w:pPr>
        <w:pStyle w:val="66"/>
        <w:numPr>
          <w:ilvl w:val="4"/>
          <w:numId w:val="14"/>
        </w:numPr>
        <w:rPr>
          <w:rFonts w:hint="eastAsia"/>
          <w:color w:val="000000"/>
        </w:rPr>
      </w:pPr>
      <w:r>
        <w:rPr>
          <w:rFonts w:hint="eastAsia"/>
          <w:color w:val="000000"/>
        </w:rPr>
        <w:t>初步设计评审要点应包括下列主要内容。</w:t>
      </w:r>
    </w:p>
    <w:p w14:paraId="6B8FAF81">
      <w:pPr>
        <w:pStyle w:val="65"/>
        <w:numPr>
          <w:ilvl w:val="0"/>
          <w:numId w:val="79"/>
        </w:numPr>
        <w:rPr>
          <w:rFonts w:hint="eastAsia"/>
          <w:color w:val="000000"/>
        </w:rPr>
      </w:pPr>
      <w:r>
        <w:rPr>
          <w:rFonts w:hint="eastAsia"/>
          <w:color w:val="000000"/>
        </w:rPr>
        <w:t>光伏发电站工程建设规模、主接线型式、电气布置、主要设备型式及参数、总平面布置和主要建筑结构型式等满足要求且科学合理；</w:t>
      </w:r>
    </w:p>
    <w:p w14:paraId="7193BEC1">
      <w:pPr>
        <w:pStyle w:val="65"/>
        <w:numPr>
          <w:ilvl w:val="0"/>
          <w:numId w:val="79"/>
        </w:numPr>
        <w:rPr>
          <w:rFonts w:hint="eastAsia"/>
          <w:color w:val="000000"/>
        </w:rPr>
      </w:pPr>
      <w:r>
        <w:rPr>
          <w:rFonts w:hint="eastAsia"/>
          <w:color w:val="000000"/>
        </w:rPr>
        <w:t>光伏线路工程路径、气象条件、导地线、绝缘配置、杆塔和基础、电缆线路敷设等满足要求且科学合理；</w:t>
      </w:r>
    </w:p>
    <w:p w14:paraId="138F0434">
      <w:pPr>
        <w:pStyle w:val="65"/>
        <w:numPr>
          <w:ilvl w:val="0"/>
          <w:numId w:val="79"/>
        </w:numPr>
        <w:rPr>
          <w:rFonts w:hint="eastAsia"/>
          <w:color w:val="000000"/>
        </w:rPr>
      </w:pPr>
      <w:r>
        <w:rPr>
          <w:rFonts w:hint="eastAsia"/>
          <w:color w:val="000000"/>
        </w:rPr>
        <w:t>各专业主要工程量准确；</w:t>
      </w:r>
    </w:p>
    <w:p w14:paraId="0CDA8EBE">
      <w:pPr>
        <w:pStyle w:val="65"/>
        <w:numPr>
          <w:ilvl w:val="0"/>
          <w:numId w:val="79"/>
        </w:numPr>
        <w:rPr>
          <w:rFonts w:hint="eastAsia"/>
          <w:color w:val="000000"/>
        </w:rPr>
      </w:pPr>
      <w:r>
        <w:rPr>
          <w:rFonts w:hint="eastAsia"/>
          <w:color w:val="000000"/>
        </w:rPr>
        <w:t>需单独立项的工程科研项目；</w:t>
      </w:r>
    </w:p>
    <w:p w14:paraId="45D4A3D1">
      <w:pPr>
        <w:pStyle w:val="65"/>
        <w:numPr>
          <w:ilvl w:val="0"/>
          <w:numId w:val="79"/>
        </w:numPr>
        <w:rPr>
          <w:rFonts w:hint="eastAsia"/>
          <w:color w:val="000000"/>
        </w:rPr>
      </w:pPr>
      <w:r>
        <w:rPr>
          <w:rFonts w:hint="eastAsia"/>
          <w:color w:val="000000"/>
        </w:rPr>
        <w:t>外委单项工程的设计文件；</w:t>
      </w:r>
    </w:p>
    <w:p w14:paraId="63A51A09">
      <w:pPr>
        <w:pStyle w:val="65"/>
        <w:numPr>
          <w:ilvl w:val="0"/>
          <w:numId w:val="79"/>
        </w:numPr>
        <w:rPr>
          <w:rFonts w:hint="eastAsia"/>
          <w:color w:val="000000"/>
        </w:rPr>
      </w:pPr>
      <w:r>
        <w:rPr>
          <w:rFonts w:hint="eastAsia"/>
          <w:color w:val="000000"/>
        </w:rPr>
        <w:t>工程概算总投资原则上应控制在可研核准(批复)的估算投资之内。初步设计概算超估算投资时,要对设计方案进一步优化,严格控制费用和标准,并对超出原因作出具体分析；</w:t>
      </w:r>
    </w:p>
    <w:p w14:paraId="2F5F9A5D">
      <w:pPr>
        <w:pStyle w:val="65"/>
        <w:numPr>
          <w:ilvl w:val="0"/>
          <w:numId w:val="79"/>
        </w:numPr>
        <w:rPr>
          <w:rFonts w:hint="eastAsia"/>
          <w:color w:val="000000"/>
        </w:rPr>
      </w:pPr>
      <w:r>
        <w:rPr>
          <w:rFonts w:hint="eastAsia"/>
          <w:color w:val="000000"/>
        </w:rPr>
        <w:t>工程建设规模与可研核准规模一致；</w:t>
      </w:r>
    </w:p>
    <w:p w14:paraId="1E39B32C">
      <w:pPr>
        <w:pStyle w:val="65"/>
        <w:numPr>
          <w:ilvl w:val="0"/>
          <w:numId w:val="79"/>
        </w:numPr>
        <w:rPr>
          <w:rFonts w:hint="eastAsia"/>
          <w:color w:val="000000"/>
        </w:rPr>
      </w:pPr>
      <w:r>
        <w:rPr>
          <w:rFonts w:hint="eastAsia"/>
          <w:color w:val="000000"/>
        </w:rPr>
        <w:t>工程概算中计列费用的工程方案具有技术评审意见；</w:t>
      </w:r>
    </w:p>
    <w:p w14:paraId="378A4554">
      <w:pPr>
        <w:pStyle w:val="65"/>
        <w:numPr>
          <w:ilvl w:val="0"/>
          <w:numId w:val="79"/>
        </w:numPr>
        <w:rPr>
          <w:rFonts w:hint="eastAsia"/>
          <w:color w:val="000000"/>
        </w:rPr>
      </w:pPr>
      <w:r>
        <w:rPr>
          <w:rFonts w:hint="eastAsia"/>
          <w:color w:val="000000"/>
        </w:rPr>
        <w:t>对站外电源、水源、道路、大件运输等配套的设计方案和概算等,经评审单位审核同意后在工程概算中计列；</w:t>
      </w:r>
    </w:p>
    <w:p w14:paraId="723FD7EA">
      <w:pPr>
        <w:pStyle w:val="65"/>
        <w:numPr>
          <w:ilvl w:val="0"/>
          <w:numId w:val="79"/>
        </w:numPr>
        <w:rPr>
          <w:rFonts w:hint="eastAsia"/>
          <w:color w:val="000000"/>
        </w:rPr>
      </w:pPr>
      <w:r>
        <w:rPr>
          <w:rFonts w:hint="eastAsia"/>
          <w:color w:val="000000"/>
        </w:rPr>
        <w:t>最终确定工程概算投资。</w:t>
      </w:r>
    </w:p>
    <w:p w14:paraId="3D920417">
      <w:pPr>
        <w:pStyle w:val="66"/>
        <w:numPr>
          <w:ilvl w:val="4"/>
          <w:numId w:val="14"/>
        </w:numPr>
        <w:rPr>
          <w:rFonts w:hint="eastAsia"/>
          <w:color w:val="000000"/>
        </w:rPr>
      </w:pPr>
      <w:r>
        <w:rPr>
          <w:rFonts w:hint="eastAsia"/>
          <w:color w:val="000000"/>
        </w:rPr>
        <w:t>施工图设计评审要点应包括下列主要内容:</w:t>
      </w:r>
    </w:p>
    <w:p w14:paraId="3BC16621">
      <w:pPr>
        <w:pStyle w:val="65"/>
        <w:numPr>
          <w:ilvl w:val="0"/>
          <w:numId w:val="80"/>
        </w:numPr>
        <w:rPr>
          <w:rFonts w:hint="eastAsia"/>
          <w:color w:val="000000"/>
        </w:rPr>
      </w:pPr>
      <w:r>
        <w:rPr>
          <w:rFonts w:hint="eastAsia"/>
          <w:color w:val="000000"/>
        </w:rPr>
        <w:t>强制性标准执行情况;</w:t>
      </w:r>
    </w:p>
    <w:p w14:paraId="046A5A87">
      <w:pPr>
        <w:pStyle w:val="65"/>
        <w:numPr>
          <w:ilvl w:val="0"/>
          <w:numId w:val="80"/>
        </w:numPr>
        <w:rPr>
          <w:rFonts w:hint="eastAsia"/>
          <w:color w:val="000000"/>
        </w:rPr>
      </w:pPr>
      <w:r>
        <w:rPr>
          <w:rFonts w:hint="eastAsia"/>
          <w:color w:val="000000"/>
        </w:rPr>
        <w:t>环评水保措施落实情况;</w:t>
      </w:r>
    </w:p>
    <w:p w14:paraId="23BEFC7C">
      <w:pPr>
        <w:pStyle w:val="65"/>
        <w:numPr>
          <w:ilvl w:val="0"/>
          <w:numId w:val="80"/>
        </w:numPr>
        <w:rPr>
          <w:rFonts w:hint="eastAsia"/>
          <w:color w:val="000000"/>
        </w:rPr>
      </w:pPr>
      <w:r>
        <w:rPr>
          <w:rFonts w:hint="eastAsia"/>
          <w:color w:val="000000"/>
        </w:rPr>
        <w:t>初步设计确定的主要技术原则的执行情况;</w:t>
      </w:r>
    </w:p>
    <w:p w14:paraId="68B5CA4F">
      <w:pPr>
        <w:pStyle w:val="65"/>
        <w:numPr>
          <w:ilvl w:val="0"/>
          <w:numId w:val="80"/>
        </w:numPr>
        <w:rPr>
          <w:rFonts w:hint="eastAsia"/>
          <w:color w:val="000000"/>
        </w:rPr>
      </w:pPr>
      <w:r>
        <w:rPr>
          <w:rFonts w:hint="eastAsia"/>
          <w:color w:val="000000"/>
        </w:rPr>
        <w:t>初步设计方案变更的专项评审情况;</w:t>
      </w:r>
    </w:p>
    <w:p w14:paraId="6A022000">
      <w:pPr>
        <w:pStyle w:val="65"/>
        <w:numPr>
          <w:ilvl w:val="0"/>
          <w:numId w:val="80"/>
        </w:numPr>
        <w:rPr>
          <w:rFonts w:hint="eastAsia"/>
          <w:color w:val="000000"/>
        </w:rPr>
      </w:pPr>
      <w:r>
        <w:rPr>
          <w:rFonts w:hint="eastAsia"/>
          <w:color w:val="000000"/>
        </w:rPr>
        <w:t xml:space="preserve">设计文件内容完整,深度满足要求; </w:t>
      </w:r>
    </w:p>
    <w:p w14:paraId="281A916E">
      <w:pPr>
        <w:pStyle w:val="65"/>
        <w:numPr>
          <w:ilvl w:val="0"/>
          <w:numId w:val="80"/>
        </w:numPr>
        <w:rPr>
          <w:rFonts w:hint="eastAsia"/>
          <w:color w:val="000000"/>
        </w:rPr>
      </w:pPr>
      <w:r>
        <w:rPr>
          <w:rFonts w:hint="eastAsia"/>
          <w:color w:val="000000"/>
        </w:rPr>
        <w:t>工程预算编制依据合法合理,工程量准确,主要经济技术指标真实合理。</w:t>
      </w:r>
    </w:p>
    <w:p w14:paraId="181B856C">
      <w:pPr>
        <w:pStyle w:val="51"/>
        <w:numPr>
          <w:ilvl w:val="2"/>
          <w:numId w:val="14"/>
        </w:numPr>
        <w:spacing w:before="120" w:after="120"/>
        <w:rPr>
          <w:rFonts w:hint="eastAsia"/>
          <w:color w:val="000000"/>
        </w:rPr>
      </w:pPr>
      <w:bookmarkStart w:id="403" w:name="_Toc13924"/>
      <w:r>
        <w:rPr>
          <w:rFonts w:hint="eastAsia"/>
          <w:color w:val="000000"/>
          <w:lang w:val="en-US" w:eastAsia="zh-CN"/>
        </w:rPr>
        <w:t>ESG</w:t>
      </w:r>
      <w:r>
        <w:rPr>
          <w:rFonts w:hint="eastAsia"/>
          <w:color w:val="000000"/>
        </w:rPr>
        <w:t>评</w:t>
      </w:r>
      <w:r>
        <w:commentReference w:id="28"/>
      </w:r>
      <w:r>
        <w:rPr>
          <w:rFonts w:hint="eastAsia"/>
          <w:color w:val="000000"/>
          <w:lang w:val="en-US" w:eastAsia="zh-CN"/>
        </w:rPr>
        <w:t>价</w:t>
      </w:r>
      <w:bookmarkEnd w:id="403"/>
      <w:r>
        <w:rPr>
          <w:rFonts w:hint="eastAsia"/>
          <w:color w:val="000000"/>
        </w:rPr>
        <w:t xml:space="preserve"> </w:t>
      </w:r>
    </w:p>
    <w:p w14:paraId="34350410">
      <w:pPr>
        <w:pStyle w:val="58"/>
        <w:numPr>
          <w:ilvl w:val="3"/>
          <w:numId w:val="14"/>
        </w:numPr>
        <w:spacing w:before="120" w:after="120"/>
        <w:rPr>
          <w:rFonts w:hint="eastAsia"/>
          <w:color w:val="000000"/>
        </w:rPr>
      </w:pPr>
      <w:r>
        <w:rPr>
          <w:rFonts w:hint="eastAsia"/>
          <w:color w:val="000000"/>
        </w:rPr>
        <w:t xml:space="preserve">一般规定 </w:t>
      </w:r>
    </w:p>
    <w:p w14:paraId="4ACB1868">
      <w:pPr>
        <w:pStyle w:val="66"/>
        <w:numPr>
          <w:ilvl w:val="4"/>
          <w:numId w:val="14"/>
        </w:numPr>
        <w:rPr>
          <w:rFonts w:hint="eastAsia"/>
          <w:color w:val="000000"/>
        </w:rPr>
      </w:pPr>
      <w:r>
        <w:rPr>
          <w:rFonts w:hint="eastAsia"/>
          <w:color w:val="000000"/>
        </w:rPr>
        <w:t>ES</w:t>
      </w:r>
      <w:r>
        <w:rPr>
          <w:rFonts w:hint="eastAsia"/>
          <w:color w:val="000000"/>
          <w:lang w:val="en-US" w:eastAsia="zh-CN"/>
        </w:rPr>
        <w:t>G</w:t>
      </w:r>
      <w:r>
        <w:rPr>
          <w:rFonts w:hint="eastAsia"/>
          <w:color w:val="000000"/>
        </w:rPr>
        <w:t>评价咨询覆盖项目投资决策、建设准备、工程实施、竣工运维全生命周期，从环境（E）、社会（S）、治理（G）三维度开展综合评价咨询服务。</w:t>
      </w:r>
    </w:p>
    <w:p w14:paraId="5E0EDFBC">
      <w:pPr>
        <w:pStyle w:val="66"/>
        <w:numPr>
          <w:ilvl w:val="4"/>
          <w:numId w:val="14"/>
        </w:numPr>
        <w:rPr>
          <w:rFonts w:hint="eastAsia"/>
          <w:color w:val="000000"/>
        </w:rPr>
      </w:pPr>
      <w:r>
        <w:rPr>
          <w:rFonts w:hint="eastAsia"/>
          <w:color w:val="000000"/>
        </w:rPr>
        <w:t>ES</w:t>
      </w:r>
      <w:r>
        <w:rPr>
          <w:rFonts w:hint="eastAsia"/>
          <w:color w:val="000000"/>
          <w:lang w:val="en-US" w:eastAsia="zh-CN"/>
        </w:rPr>
        <w:t>G</w:t>
      </w:r>
      <w:r>
        <w:rPr>
          <w:rFonts w:hint="eastAsia"/>
          <w:color w:val="000000"/>
        </w:rPr>
        <w:t>评价咨询可</w:t>
      </w:r>
      <w:r>
        <w:rPr>
          <w:rFonts w:hint="eastAsia"/>
          <w:color w:val="000000"/>
          <w:lang w:val="en-US" w:eastAsia="zh-CN"/>
        </w:rPr>
        <w:t>根据合同要求</w:t>
      </w:r>
      <w:r>
        <w:rPr>
          <w:rFonts w:hint="eastAsia"/>
          <w:color w:val="000000"/>
        </w:rPr>
        <w:t>提供自评辅导、第三方评价配合、ESG 报告编制</w:t>
      </w:r>
      <w:r>
        <w:rPr>
          <w:rFonts w:hint="eastAsia"/>
          <w:color w:val="000000"/>
          <w:lang w:val="en-US" w:eastAsia="zh-CN"/>
        </w:rPr>
        <w:t>等服务</w:t>
      </w:r>
      <w:r>
        <w:rPr>
          <w:rFonts w:hint="eastAsia"/>
          <w:color w:val="000000"/>
        </w:rPr>
        <w:t>。</w:t>
      </w:r>
    </w:p>
    <w:p w14:paraId="458CF642">
      <w:pPr>
        <w:pStyle w:val="66"/>
        <w:numPr>
          <w:ilvl w:val="4"/>
          <w:numId w:val="14"/>
        </w:numPr>
        <w:rPr>
          <w:rFonts w:hint="eastAsia"/>
          <w:color w:val="000000"/>
        </w:rPr>
      </w:pPr>
      <w:r>
        <w:rPr>
          <w:rFonts w:hint="eastAsia"/>
          <w:color w:val="000000"/>
        </w:rPr>
        <w:t>ES</w:t>
      </w:r>
      <w:r>
        <w:rPr>
          <w:rFonts w:hint="eastAsia"/>
          <w:color w:val="000000"/>
          <w:lang w:val="en-US" w:eastAsia="zh-CN"/>
        </w:rPr>
        <w:t>G</w:t>
      </w:r>
      <w:r>
        <w:rPr>
          <w:rFonts w:hint="eastAsia"/>
          <w:color w:val="000000"/>
        </w:rPr>
        <w:t>评价咨询工作应遵循客观性、独立性、可操作性、全生命周期、一致性五大评价原则，所有打分、结论均以现场实测、审批文件、台账记录、检测报告等客观资料为依据。</w:t>
      </w:r>
    </w:p>
    <w:p w14:paraId="0548F7C4">
      <w:pPr>
        <w:pStyle w:val="58"/>
        <w:numPr>
          <w:ilvl w:val="3"/>
          <w:numId w:val="14"/>
        </w:numPr>
        <w:spacing w:before="120" w:after="120"/>
        <w:rPr>
          <w:rFonts w:hint="eastAsia"/>
          <w:color w:val="000000"/>
        </w:rPr>
      </w:pPr>
      <w:r>
        <w:rPr>
          <w:rFonts w:hint="eastAsia"/>
          <w:color w:val="000000"/>
          <w:lang w:val="en-US" w:eastAsia="zh-CN"/>
        </w:rPr>
        <w:t>ESG评价</w:t>
      </w:r>
      <w:r>
        <w:rPr>
          <w:rFonts w:hint="eastAsia"/>
          <w:color w:val="000000"/>
        </w:rPr>
        <w:t xml:space="preserve">主要工作 </w:t>
      </w:r>
    </w:p>
    <w:p w14:paraId="3BD98791">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编制项目 ESG 整体实施方案，明确 E/S/G 三级评价指标管控目标、资料收集清单、阶段评价节点。</w:t>
      </w:r>
    </w:p>
    <w:p w14:paraId="141939F7">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开展</w:t>
      </w:r>
      <w:r>
        <w:rPr>
          <w:rFonts w:hint="eastAsia" w:ascii="宋体" w:hAnsi="Times New Roman" w:eastAsia="宋体" w:cs="Times New Roman"/>
          <w:color w:val="000000"/>
        </w:rPr>
        <w:t>环境维度前置评价</w:t>
      </w:r>
      <w:r>
        <w:rPr>
          <w:rFonts w:hint="eastAsia" w:ascii="宋体" w:hAnsi="Times New Roman" w:eastAsia="宋体" w:cs="Times New Roman"/>
          <w:color w:val="000000"/>
          <w:lang w:val="en-US" w:eastAsia="zh-CN"/>
        </w:rPr>
        <w:t>工作</w:t>
      </w:r>
      <w:r>
        <w:rPr>
          <w:rFonts w:hint="eastAsia" w:ascii="宋体" w:hAnsi="Times New Roman" w:eastAsia="宋体" w:cs="Times New Roman"/>
          <w:color w:val="000000"/>
        </w:rPr>
        <w:t>：</w:t>
      </w:r>
    </w:p>
    <w:p w14:paraId="1E31B55A">
      <w:pPr>
        <w:pStyle w:val="65"/>
        <w:numPr>
          <w:ilvl w:val="0"/>
          <w:numId w:val="81"/>
        </w:numPr>
        <w:tabs>
          <w:tab w:val="clear" w:pos="851"/>
        </w:tabs>
        <w:rPr>
          <w:rFonts w:hint="eastAsia"/>
          <w:color w:val="000000"/>
        </w:rPr>
      </w:pPr>
      <w:r>
        <w:rPr>
          <w:rFonts w:hint="eastAsia"/>
          <w:color w:val="000000"/>
        </w:rPr>
        <w:t>核查生态红线、永久基本农田、林地、草原、海洋保护区、渔业产卵区等限制性区域符合性；</w:t>
      </w:r>
    </w:p>
    <w:p w14:paraId="0C880AE9">
      <w:pPr>
        <w:pStyle w:val="65"/>
        <w:numPr>
          <w:ilvl w:val="0"/>
          <w:numId w:val="81"/>
        </w:numPr>
        <w:tabs>
          <w:tab w:val="clear" w:pos="851"/>
        </w:tabs>
        <w:rPr>
          <w:rFonts w:hint="eastAsia"/>
          <w:color w:val="000000"/>
        </w:rPr>
      </w:pPr>
      <w:r>
        <w:rPr>
          <w:rFonts w:hint="eastAsia"/>
          <w:color w:val="000000"/>
        </w:rPr>
        <w:t>测算项目全生命周期碳足迹、温室气体减排潜力，开展气候适应性分析；</w:t>
      </w:r>
    </w:p>
    <w:p w14:paraId="31DC0EF0">
      <w:pPr>
        <w:pStyle w:val="65"/>
        <w:numPr>
          <w:ilvl w:val="0"/>
          <w:numId w:val="81"/>
        </w:numPr>
        <w:tabs>
          <w:tab w:val="clear" w:pos="851"/>
        </w:tabs>
        <w:rPr>
          <w:rFonts w:hint="eastAsia"/>
          <w:color w:val="000000"/>
        </w:rPr>
      </w:pPr>
      <w:r>
        <w:rPr>
          <w:rFonts w:hint="eastAsia"/>
          <w:color w:val="000000"/>
        </w:rPr>
        <w:t>评估水资源、土地 / 海域、主材消耗强度，制定资源循环利用方案；</w:t>
      </w:r>
    </w:p>
    <w:p w14:paraId="51BD0590">
      <w:pPr>
        <w:pStyle w:val="65"/>
        <w:numPr>
          <w:ilvl w:val="0"/>
          <w:numId w:val="81"/>
        </w:numPr>
        <w:tabs>
          <w:tab w:val="clear" w:pos="851"/>
        </w:tabs>
        <w:rPr>
          <w:rFonts w:hint="eastAsia"/>
          <w:color w:val="000000"/>
        </w:rPr>
      </w:pPr>
      <w:r>
        <w:rPr>
          <w:rFonts w:hint="eastAsia"/>
          <w:color w:val="000000"/>
        </w:rPr>
        <w:t>预判施工期污水、扬尘、固废、噪声、电磁辐射、海洋悬浮物污染风险，配套防控措施；</w:t>
      </w:r>
    </w:p>
    <w:p w14:paraId="509B5C16">
      <w:pPr>
        <w:pStyle w:val="65"/>
        <w:numPr>
          <w:ilvl w:val="0"/>
          <w:numId w:val="81"/>
        </w:numPr>
        <w:tabs>
          <w:tab w:val="clear" w:pos="851"/>
        </w:tabs>
        <w:rPr>
          <w:rFonts w:hint="eastAsia"/>
          <w:color w:val="000000"/>
        </w:rPr>
      </w:pPr>
      <w:r>
        <w:rPr>
          <w:rFonts w:hint="eastAsia"/>
          <w:color w:val="000000"/>
        </w:rPr>
        <w:t>开展生物多样性、水土保持、海域生态影响前置分析。</w:t>
      </w:r>
    </w:p>
    <w:p w14:paraId="42EA9D82">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开展</w:t>
      </w:r>
      <w:r>
        <w:rPr>
          <w:rFonts w:hint="eastAsia" w:ascii="宋体" w:hAnsi="Times New Roman" w:eastAsia="宋体" w:cs="Times New Roman"/>
          <w:color w:val="000000"/>
        </w:rPr>
        <w:t>社会维度前置评价</w:t>
      </w:r>
      <w:r>
        <w:rPr>
          <w:rFonts w:hint="eastAsia" w:ascii="宋体" w:hAnsi="Times New Roman" w:eastAsia="宋体" w:cs="Times New Roman"/>
          <w:color w:val="000000"/>
          <w:lang w:val="en-US" w:eastAsia="zh-CN"/>
        </w:rPr>
        <w:t>工作</w:t>
      </w:r>
      <w:r>
        <w:rPr>
          <w:rFonts w:hint="eastAsia" w:ascii="宋体" w:hAnsi="Times New Roman" w:eastAsia="宋体" w:cs="Times New Roman"/>
          <w:color w:val="000000"/>
        </w:rPr>
        <w:t>：</w:t>
      </w:r>
    </w:p>
    <w:p w14:paraId="63C5CAF0">
      <w:pPr>
        <w:pStyle w:val="65"/>
        <w:numPr>
          <w:ilvl w:val="0"/>
          <w:numId w:val="82"/>
        </w:numPr>
        <w:tabs>
          <w:tab w:val="clear" w:pos="851"/>
        </w:tabs>
        <w:rPr>
          <w:rFonts w:hint="eastAsia"/>
          <w:color w:val="000000"/>
        </w:rPr>
      </w:pPr>
      <w:r>
        <w:rPr>
          <w:rFonts w:hint="eastAsia"/>
          <w:color w:val="000000"/>
        </w:rPr>
        <w:t>征地、海域占用、养殖补偿社会风险研判，编制稳评配套 ES</w:t>
      </w:r>
      <w:r>
        <w:rPr>
          <w:rFonts w:hint="eastAsia" w:ascii="宋体" w:hAnsi="Times New Roman" w:eastAsia="宋体" w:cs="Times New Roman"/>
          <w:color w:val="000000"/>
          <w:lang w:val="en-US" w:eastAsia="zh-CN"/>
        </w:rPr>
        <w:t>G</w:t>
      </w:r>
      <w:r>
        <w:rPr>
          <w:rFonts w:hint="eastAsia"/>
          <w:color w:val="000000"/>
        </w:rPr>
        <w:t xml:space="preserve"> 专项内容；</w:t>
      </w:r>
    </w:p>
    <w:p w14:paraId="653F7DF0">
      <w:pPr>
        <w:pStyle w:val="65"/>
        <w:numPr>
          <w:ilvl w:val="0"/>
          <w:numId w:val="82"/>
        </w:numPr>
        <w:tabs>
          <w:tab w:val="clear" w:pos="851"/>
        </w:tabs>
        <w:rPr>
          <w:rFonts w:hint="eastAsia"/>
          <w:color w:val="000000"/>
        </w:rPr>
      </w:pPr>
      <w:r>
        <w:rPr>
          <w:rFonts w:hint="eastAsia"/>
          <w:color w:val="000000"/>
        </w:rPr>
        <w:t>分析项目本地就业、乡村产业带动、公益配套等社会贡献潜力；</w:t>
      </w:r>
    </w:p>
    <w:p w14:paraId="6E83FDFE">
      <w:pPr>
        <w:pStyle w:val="65"/>
        <w:numPr>
          <w:ilvl w:val="0"/>
          <w:numId w:val="82"/>
        </w:numPr>
        <w:tabs>
          <w:tab w:val="clear" w:pos="851"/>
        </w:tabs>
        <w:rPr>
          <w:rFonts w:hint="eastAsia"/>
          <w:color w:val="000000"/>
        </w:rPr>
      </w:pPr>
      <w:r>
        <w:rPr>
          <w:rFonts w:hint="eastAsia"/>
          <w:color w:val="000000"/>
        </w:rPr>
        <w:t>梳理供应链 ES</w:t>
      </w:r>
      <w:r>
        <w:rPr>
          <w:rFonts w:hint="eastAsia" w:ascii="宋体" w:hAnsi="Times New Roman" w:eastAsia="宋体" w:cs="Times New Roman"/>
          <w:color w:val="000000"/>
          <w:lang w:val="en-US" w:eastAsia="zh-CN"/>
        </w:rPr>
        <w:t>G</w:t>
      </w:r>
      <w:r>
        <w:rPr>
          <w:rFonts w:hint="eastAsia"/>
          <w:color w:val="000000"/>
        </w:rPr>
        <w:t xml:space="preserve"> 管控要求，明确组件、支架、海缆供应商环境、劳工准入标准。</w:t>
      </w:r>
    </w:p>
    <w:p w14:paraId="5085499D">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开展</w:t>
      </w:r>
      <w:r>
        <w:rPr>
          <w:rFonts w:hint="eastAsia" w:ascii="宋体" w:hAnsi="Times New Roman" w:eastAsia="宋体" w:cs="Times New Roman"/>
          <w:color w:val="000000"/>
        </w:rPr>
        <w:t>治理维度前置评价</w:t>
      </w:r>
      <w:r>
        <w:rPr>
          <w:rFonts w:hint="eastAsia" w:ascii="宋体" w:hAnsi="Times New Roman" w:eastAsia="宋体" w:cs="Times New Roman"/>
          <w:color w:val="000000"/>
          <w:lang w:val="en-US" w:eastAsia="zh-CN"/>
        </w:rPr>
        <w:t>工作</w:t>
      </w:r>
      <w:r>
        <w:rPr>
          <w:rFonts w:hint="eastAsia" w:ascii="宋体" w:hAnsi="Times New Roman" w:eastAsia="宋体" w:cs="Times New Roman"/>
          <w:color w:val="000000"/>
        </w:rPr>
        <w:t>：</w:t>
      </w:r>
    </w:p>
    <w:p w14:paraId="30BA1250">
      <w:pPr>
        <w:pStyle w:val="65"/>
        <w:numPr>
          <w:ilvl w:val="0"/>
          <w:numId w:val="83"/>
        </w:numPr>
        <w:tabs>
          <w:tab w:val="clear" w:pos="851"/>
        </w:tabs>
        <w:rPr>
          <w:rFonts w:hint="eastAsia"/>
          <w:color w:val="000000"/>
        </w:rPr>
      </w:pPr>
      <w:r>
        <w:rPr>
          <w:rFonts w:hint="eastAsia"/>
          <w:color w:val="000000"/>
        </w:rPr>
        <w:t>协助搭建项目 ESG 组织管理架构，明确党建、内控、审计、合规、风险管控岗位职责；</w:t>
      </w:r>
    </w:p>
    <w:p w14:paraId="4EAD051B">
      <w:pPr>
        <w:pStyle w:val="65"/>
        <w:numPr>
          <w:ilvl w:val="0"/>
          <w:numId w:val="83"/>
        </w:numPr>
        <w:tabs>
          <w:tab w:val="clear" w:pos="851"/>
        </w:tabs>
        <w:rPr>
          <w:rFonts w:hint="eastAsia"/>
          <w:color w:val="000000"/>
        </w:rPr>
      </w:pPr>
      <w:r>
        <w:rPr>
          <w:rFonts w:hint="eastAsia"/>
          <w:color w:val="000000"/>
        </w:rPr>
        <w:t>建立</w:t>
      </w:r>
      <w:r>
        <w:rPr>
          <w:rFonts w:hint="eastAsia" w:ascii="宋体" w:hAnsi="Times New Roman" w:eastAsia="宋体" w:cs="Times New Roman"/>
          <w:color w:val="000000"/>
        </w:rPr>
        <w:t>环保、安全、劳工、反贿赂、信息披露、利益相关方沟通</w:t>
      </w:r>
      <w:r>
        <w:rPr>
          <w:rFonts w:hint="eastAsia" w:ascii="宋体" w:hAnsi="Times New Roman" w:eastAsia="宋体" w:cs="Times New Roman"/>
          <w:color w:val="000000"/>
          <w:lang w:val="en-US" w:eastAsia="zh-CN"/>
        </w:rPr>
        <w:t>等</w:t>
      </w:r>
      <w:r>
        <w:rPr>
          <w:rFonts w:hint="eastAsia"/>
          <w:color w:val="000000"/>
        </w:rPr>
        <w:t>全周期 ES</w:t>
      </w:r>
      <w:r>
        <w:rPr>
          <w:rFonts w:hint="eastAsia" w:ascii="宋体" w:hAnsi="Times New Roman" w:eastAsia="宋体" w:cs="Times New Roman"/>
          <w:color w:val="000000"/>
          <w:lang w:val="en-US" w:eastAsia="zh-CN"/>
        </w:rPr>
        <w:t>G</w:t>
      </w:r>
      <w:r>
        <w:rPr>
          <w:rFonts w:hint="eastAsia"/>
          <w:color w:val="000000"/>
        </w:rPr>
        <w:t xml:space="preserve"> 管理制度清单；</w:t>
      </w:r>
    </w:p>
    <w:p w14:paraId="5B3AB51E">
      <w:pPr>
        <w:pStyle w:val="65"/>
        <w:numPr>
          <w:ilvl w:val="0"/>
          <w:numId w:val="83"/>
        </w:numPr>
        <w:tabs>
          <w:tab w:val="clear" w:pos="851"/>
        </w:tabs>
        <w:rPr>
          <w:rFonts w:hint="eastAsia"/>
          <w:color w:val="000000"/>
        </w:rPr>
      </w:pPr>
      <w:r>
        <w:rPr>
          <w:rFonts w:hint="eastAsia"/>
          <w:color w:val="000000"/>
        </w:rPr>
        <w:t>识别用地用海、环保、海事、林业等合规风险，制定全过程合规管控机制。</w:t>
      </w:r>
    </w:p>
    <w:p w14:paraId="4C0EA6B6">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协助建设单位进行</w:t>
      </w:r>
      <w:r>
        <w:rPr>
          <w:rFonts w:hint="eastAsia" w:ascii="宋体" w:hAnsi="Times New Roman" w:eastAsia="宋体" w:cs="Times New Roman"/>
          <w:color w:val="000000"/>
        </w:rPr>
        <w:t>可</w:t>
      </w:r>
      <w:r>
        <w:rPr>
          <w:rFonts w:hint="eastAsia" w:ascii="宋体" w:hAnsi="Times New Roman" w:eastAsia="宋体" w:cs="Times New Roman"/>
          <w:color w:val="000000"/>
          <w:lang w:val="en-US" w:eastAsia="zh-CN"/>
        </w:rPr>
        <w:t>行性</w:t>
      </w:r>
      <w:r>
        <w:rPr>
          <w:rFonts w:hint="eastAsia" w:ascii="宋体" w:hAnsi="Times New Roman" w:eastAsia="宋体" w:cs="Times New Roman"/>
          <w:color w:val="000000"/>
        </w:rPr>
        <w:t>研</w:t>
      </w:r>
      <w:r>
        <w:rPr>
          <w:rFonts w:hint="eastAsia" w:ascii="宋体" w:hAnsi="Times New Roman" w:eastAsia="宋体" w:cs="Times New Roman"/>
          <w:color w:val="000000"/>
          <w:lang w:val="en-US" w:eastAsia="zh-CN"/>
        </w:rPr>
        <w:t>究报告或</w:t>
      </w:r>
      <w:r>
        <w:rPr>
          <w:rFonts w:hint="eastAsia" w:ascii="宋体" w:hAnsi="Times New Roman" w:eastAsia="宋体" w:cs="Times New Roman"/>
          <w:color w:val="000000"/>
        </w:rPr>
        <w:t>项目建议书 ES</w:t>
      </w:r>
      <w:r>
        <w:rPr>
          <w:rFonts w:hint="eastAsia" w:ascii="宋体" w:hAnsi="Times New Roman" w:eastAsia="宋体" w:cs="Times New Roman"/>
          <w:color w:val="000000"/>
          <w:lang w:val="en-US" w:eastAsia="zh-CN"/>
        </w:rPr>
        <w:t>G</w:t>
      </w:r>
      <w:r>
        <w:rPr>
          <w:rFonts w:hint="eastAsia" w:ascii="宋体" w:hAnsi="Times New Roman" w:eastAsia="宋体" w:cs="Times New Roman"/>
          <w:color w:val="000000"/>
        </w:rPr>
        <w:t xml:space="preserve"> 专项章节编制</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组织</w:t>
      </w:r>
      <w:r>
        <w:rPr>
          <w:rFonts w:hint="eastAsia" w:ascii="宋体" w:hAnsi="Times New Roman" w:eastAsia="宋体" w:cs="Times New Roman"/>
          <w:color w:val="000000"/>
        </w:rPr>
        <w:t>专家评审，为投资决策提供 ES</w:t>
      </w:r>
      <w:r>
        <w:rPr>
          <w:rFonts w:hint="eastAsia" w:ascii="宋体" w:hAnsi="Times New Roman" w:eastAsia="宋体" w:cs="Times New Roman"/>
          <w:color w:val="000000"/>
          <w:lang w:val="en-US" w:eastAsia="zh-CN"/>
        </w:rPr>
        <w:t>G</w:t>
      </w:r>
      <w:r>
        <w:rPr>
          <w:rFonts w:hint="eastAsia" w:ascii="宋体" w:hAnsi="Times New Roman" w:eastAsia="宋体" w:cs="Times New Roman"/>
          <w:color w:val="000000"/>
        </w:rPr>
        <w:t xml:space="preserve"> 绩效论证结论。</w:t>
      </w:r>
    </w:p>
    <w:p w14:paraId="496D6C8B">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开展</w:t>
      </w:r>
      <w:r>
        <w:rPr>
          <w:rFonts w:hint="eastAsia" w:ascii="宋体" w:hAnsi="Times New Roman" w:eastAsia="宋体" w:cs="Times New Roman"/>
          <w:color w:val="000000"/>
          <w:lang w:val="en-US" w:eastAsia="zh-CN"/>
        </w:rPr>
        <w:t>设计</w:t>
      </w:r>
      <w:r>
        <w:rPr>
          <w:rFonts w:hint="eastAsia" w:ascii="宋体" w:hAnsi="Times New Roman" w:eastAsia="宋体" w:cs="Times New Roman"/>
          <w:color w:val="000000"/>
        </w:rPr>
        <w:t>图</w:t>
      </w:r>
      <w:r>
        <w:rPr>
          <w:rFonts w:hint="eastAsia" w:ascii="宋体" w:hAnsi="Times New Roman" w:eastAsia="宋体" w:cs="Times New Roman"/>
          <w:color w:val="000000"/>
          <w:lang w:val="en-US" w:eastAsia="zh-CN"/>
        </w:rPr>
        <w:t>纸</w:t>
      </w:r>
      <w:r>
        <w:rPr>
          <w:rFonts w:hint="eastAsia" w:ascii="宋体" w:hAnsi="Times New Roman" w:eastAsia="宋体" w:cs="Times New Roman"/>
          <w:color w:val="000000"/>
        </w:rPr>
        <w:t xml:space="preserve"> ES</w:t>
      </w:r>
      <w:r>
        <w:rPr>
          <w:rFonts w:hint="eastAsia" w:ascii="宋体" w:hAnsi="Times New Roman" w:eastAsia="宋体" w:cs="Times New Roman"/>
          <w:color w:val="000000"/>
          <w:lang w:val="en-US" w:eastAsia="zh-CN"/>
        </w:rPr>
        <w:t>G</w:t>
      </w:r>
      <w:r>
        <w:rPr>
          <w:rFonts w:hint="eastAsia" w:ascii="宋体" w:hAnsi="Times New Roman" w:eastAsia="宋体" w:cs="Times New Roman"/>
          <w:color w:val="000000"/>
        </w:rPr>
        <w:t xml:space="preserve"> 专项审查：</w:t>
      </w:r>
    </w:p>
    <w:p w14:paraId="46AD3E27">
      <w:pPr>
        <w:pStyle w:val="65"/>
        <w:numPr>
          <w:ilvl w:val="0"/>
          <w:numId w:val="84"/>
        </w:numPr>
        <w:tabs>
          <w:tab w:val="clear" w:pos="851"/>
        </w:tabs>
        <w:rPr>
          <w:rFonts w:hint="eastAsia"/>
          <w:color w:val="000000"/>
        </w:rPr>
      </w:pPr>
      <w:r>
        <w:rPr>
          <w:rFonts w:hint="eastAsia"/>
          <w:color w:val="000000"/>
        </w:rPr>
        <w:t>审查节水雨水回收、土地集约布置、防腐降噪、生态修复、海上生态缓冲设计</w:t>
      </w:r>
      <w:r>
        <w:rPr>
          <w:rFonts w:hint="eastAsia" w:ascii="宋体" w:hAnsi="Times New Roman" w:eastAsia="宋体" w:cs="Times New Roman"/>
          <w:color w:val="000000"/>
          <w:lang w:val="en-US" w:eastAsia="zh-CN"/>
        </w:rPr>
        <w:t>等</w:t>
      </w:r>
      <w:r>
        <w:rPr>
          <w:rFonts w:hint="eastAsia" w:ascii="宋体" w:hAnsi="Times New Roman" w:eastAsia="宋体" w:cs="Times New Roman"/>
          <w:color w:val="000000"/>
        </w:rPr>
        <w:t>绿色设计落地情况</w:t>
      </w:r>
      <w:r>
        <w:rPr>
          <w:rFonts w:hint="eastAsia"/>
          <w:color w:val="000000"/>
        </w:rPr>
        <w:t>；</w:t>
      </w:r>
    </w:p>
    <w:p w14:paraId="565D2794">
      <w:pPr>
        <w:pStyle w:val="65"/>
        <w:numPr>
          <w:ilvl w:val="0"/>
          <w:numId w:val="84"/>
        </w:numPr>
        <w:tabs>
          <w:tab w:val="clear" w:pos="851"/>
        </w:tabs>
        <w:rPr>
          <w:rFonts w:hint="eastAsia"/>
          <w:color w:val="000000"/>
        </w:rPr>
      </w:pPr>
      <w:r>
        <w:rPr>
          <w:rFonts w:hint="eastAsia"/>
          <w:color w:val="000000"/>
        </w:rPr>
        <w:t>核查固废分类处置、污水循环、危废暂存、噪声隔离、电磁屏蔽专项设计；</w:t>
      </w:r>
    </w:p>
    <w:p w14:paraId="1BC63AF4">
      <w:pPr>
        <w:pStyle w:val="65"/>
        <w:numPr>
          <w:ilvl w:val="0"/>
          <w:numId w:val="84"/>
        </w:numPr>
        <w:tabs>
          <w:tab w:val="clear" w:pos="851"/>
        </w:tabs>
        <w:rPr>
          <w:rFonts w:hint="eastAsia"/>
          <w:color w:val="000000"/>
        </w:rPr>
      </w:pPr>
      <w:r>
        <w:rPr>
          <w:rFonts w:hint="eastAsia"/>
          <w:color w:val="000000"/>
        </w:rPr>
        <w:t>海上光伏重点审查海洋生物附着防控、施工悬浮物管控、海缆生态保护、倾废减量设计。</w:t>
      </w:r>
    </w:p>
    <w:p w14:paraId="0B53DAC5">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进行</w:t>
      </w:r>
      <w:r>
        <w:rPr>
          <w:rFonts w:hint="eastAsia" w:ascii="宋体" w:hAnsi="Times New Roman" w:eastAsia="宋体" w:cs="Times New Roman"/>
          <w:color w:val="000000"/>
        </w:rPr>
        <w:t>参建单位 ES</w:t>
      </w:r>
      <w:r>
        <w:rPr>
          <w:rFonts w:hint="eastAsia" w:ascii="宋体" w:hAnsi="Times New Roman" w:eastAsia="宋体" w:cs="Times New Roman"/>
          <w:color w:val="000000"/>
          <w:lang w:val="en-US" w:eastAsia="zh-CN"/>
        </w:rPr>
        <w:t>G</w:t>
      </w:r>
      <w:r>
        <w:rPr>
          <w:rFonts w:hint="eastAsia" w:ascii="宋体" w:hAnsi="Times New Roman" w:eastAsia="宋体" w:cs="Times New Roman"/>
          <w:color w:val="000000"/>
        </w:rPr>
        <w:t xml:space="preserve"> 体系</w:t>
      </w:r>
      <w:r>
        <w:rPr>
          <w:rFonts w:hint="eastAsia" w:ascii="宋体" w:hAnsi="Times New Roman" w:eastAsia="宋体" w:cs="Times New Roman"/>
          <w:color w:val="000000"/>
          <w:lang w:val="en-US" w:eastAsia="zh-CN"/>
        </w:rPr>
        <w:t>审</w:t>
      </w:r>
      <w:r>
        <w:rPr>
          <w:rFonts w:hint="eastAsia" w:ascii="宋体" w:hAnsi="Times New Roman" w:eastAsia="宋体" w:cs="Times New Roman"/>
          <w:color w:val="000000"/>
        </w:rPr>
        <w:t>查</w:t>
      </w:r>
      <w:r>
        <w:rPr>
          <w:rFonts w:hint="eastAsia" w:ascii="宋体" w:hAnsi="Times New Roman" w:eastAsia="宋体" w:cs="Times New Roman"/>
          <w:color w:val="000000"/>
          <w:lang w:eastAsia="zh-CN"/>
        </w:rPr>
        <w:t>,</w:t>
      </w:r>
      <w:r>
        <w:rPr>
          <w:rFonts w:hint="eastAsia" w:ascii="宋体" w:hAnsi="Times New Roman" w:eastAsia="宋体" w:cs="Times New Roman"/>
          <w:color w:val="000000"/>
        </w:rPr>
        <w:t>审查施工、监理、设备厂环保、安全生产、劳工保护、供应链管理制度。</w:t>
      </w:r>
    </w:p>
    <w:p w14:paraId="7AAF0E1F">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开展</w:t>
      </w:r>
      <w:r>
        <w:rPr>
          <w:rFonts w:hint="eastAsia" w:ascii="宋体" w:hAnsi="Times New Roman" w:eastAsia="宋体" w:cs="Times New Roman"/>
          <w:color w:val="000000"/>
        </w:rPr>
        <w:t>环境维度现场动态评价</w:t>
      </w:r>
      <w:r>
        <w:rPr>
          <w:rFonts w:hint="eastAsia" w:ascii="宋体" w:hAnsi="Times New Roman" w:eastAsia="宋体" w:cs="Times New Roman"/>
          <w:color w:val="000000"/>
          <w:lang w:val="en-US" w:eastAsia="zh-CN"/>
        </w:rPr>
        <w:t>工作</w:t>
      </w:r>
      <w:r>
        <w:rPr>
          <w:rFonts w:hint="eastAsia" w:ascii="宋体" w:hAnsi="Times New Roman" w:eastAsia="宋体" w:cs="Times New Roman"/>
          <w:color w:val="000000"/>
        </w:rPr>
        <w:t>：</w:t>
      </w:r>
    </w:p>
    <w:p w14:paraId="6487AB7E">
      <w:pPr>
        <w:pStyle w:val="65"/>
        <w:numPr>
          <w:ilvl w:val="0"/>
          <w:numId w:val="85"/>
        </w:numPr>
        <w:tabs>
          <w:tab w:val="clear" w:pos="851"/>
        </w:tabs>
        <w:rPr>
          <w:rFonts w:hint="eastAsia"/>
          <w:color w:val="000000"/>
        </w:rPr>
      </w:pPr>
      <w:r>
        <w:rPr>
          <w:rFonts w:hint="eastAsia"/>
          <w:color w:val="000000"/>
        </w:rPr>
        <w:t>定期现场核查扬尘、施工废水、生活污水、建筑垃圾、危险废物处置合规性；</w:t>
      </w:r>
    </w:p>
    <w:p w14:paraId="0D5D1FBA">
      <w:pPr>
        <w:pStyle w:val="65"/>
        <w:numPr>
          <w:ilvl w:val="0"/>
          <w:numId w:val="85"/>
        </w:numPr>
        <w:tabs>
          <w:tab w:val="clear" w:pos="851"/>
        </w:tabs>
        <w:rPr>
          <w:rFonts w:hint="eastAsia"/>
          <w:color w:val="000000"/>
        </w:rPr>
      </w:pPr>
      <w:r>
        <w:rPr>
          <w:rFonts w:hint="eastAsia"/>
          <w:color w:val="000000"/>
        </w:rPr>
        <w:t>监测噪声、电磁场，抽查组件、钢材等环保主材使用比例；</w:t>
      </w:r>
    </w:p>
    <w:p w14:paraId="2F7DC30F">
      <w:pPr>
        <w:pStyle w:val="65"/>
        <w:numPr>
          <w:ilvl w:val="0"/>
          <w:numId w:val="85"/>
        </w:numPr>
        <w:tabs>
          <w:tab w:val="clear" w:pos="851"/>
        </w:tabs>
        <w:rPr>
          <w:rFonts w:hint="eastAsia"/>
          <w:color w:val="000000"/>
        </w:rPr>
      </w:pPr>
      <w:r>
        <w:rPr>
          <w:rFonts w:hint="eastAsia"/>
          <w:color w:val="000000"/>
        </w:rPr>
        <w:t>海上项目重点监督施工船舶排污、海床开挖弃土处置、渔业资源临时保护措施；</w:t>
      </w:r>
    </w:p>
    <w:p w14:paraId="4B9CC45F">
      <w:pPr>
        <w:pStyle w:val="65"/>
        <w:numPr>
          <w:ilvl w:val="0"/>
          <w:numId w:val="85"/>
        </w:numPr>
        <w:tabs>
          <w:tab w:val="clear" w:pos="851"/>
        </w:tabs>
        <w:rPr>
          <w:rFonts w:hint="eastAsia"/>
          <w:color w:val="000000"/>
        </w:rPr>
      </w:pPr>
      <w:r>
        <w:rPr>
          <w:rFonts w:hint="eastAsia"/>
          <w:color w:val="000000"/>
        </w:rPr>
        <w:t>核对碳减排阶段性数据，统计施工阶段能源、淡水消耗指标。</w:t>
      </w:r>
    </w:p>
    <w:p w14:paraId="2609672F">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开展</w:t>
      </w:r>
      <w:r>
        <w:rPr>
          <w:rFonts w:hint="eastAsia" w:ascii="宋体" w:hAnsi="Times New Roman" w:eastAsia="宋体" w:cs="Times New Roman"/>
          <w:color w:val="000000"/>
        </w:rPr>
        <w:t>社会维度过程评价</w:t>
      </w:r>
      <w:r>
        <w:rPr>
          <w:rFonts w:hint="eastAsia" w:ascii="宋体" w:hAnsi="Times New Roman" w:eastAsia="宋体" w:cs="Times New Roman"/>
          <w:color w:val="000000"/>
          <w:lang w:val="en-US" w:eastAsia="zh-CN"/>
        </w:rPr>
        <w:t>工作</w:t>
      </w:r>
      <w:r>
        <w:rPr>
          <w:rFonts w:hint="eastAsia" w:ascii="宋体" w:hAnsi="Times New Roman" w:eastAsia="宋体" w:cs="Times New Roman"/>
          <w:color w:val="000000"/>
        </w:rPr>
        <w:t>：</w:t>
      </w:r>
    </w:p>
    <w:p w14:paraId="717E52D3">
      <w:pPr>
        <w:pStyle w:val="65"/>
        <w:numPr>
          <w:ilvl w:val="0"/>
          <w:numId w:val="86"/>
        </w:numPr>
        <w:tabs>
          <w:tab w:val="clear" w:pos="851"/>
        </w:tabs>
        <w:rPr>
          <w:rFonts w:hint="eastAsia"/>
          <w:color w:val="000000"/>
        </w:rPr>
      </w:pPr>
      <w:r>
        <w:rPr>
          <w:rFonts w:hint="eastAsia"/>
          <w:color w:val="000000"/>
        </w:rPr>
        <w:t>现场核查施工人员劳保、职业健康体检、工时薪酬、安全培训落实；</w:t>
      </w:r>
    </w:p>
    <w:p w14:paraId="5FCFB07C">
      <w:pPr>
        <w:pStyle w:val="65"/>
        <w:numPr>
          <w:ilvl w:val="0"/>
          <w:numId w:val="86"/>
        </w:numPr>
        <w:tabs>
          <w:tab w:val="clear" w:pos="851"/>
        </w:tabs>
        <w:rPr>
          <w:rFonts w:hint="eastAsia"/>
          <w:color w:val="000000"/>
        </w:rPr>
      </w:pPr>
      <w:r>
        <w:rPr>
          <w:rFonts w:hint="eastAsia"/>
          <w:color w:val="000000"/>
        </w:rPr>
        <w:t>跟踪征地/海域补偿兑付、周边居民诉求处置、信访投诉闭环情况；</w:t>
      </w:r>
    </w:p>
    <w:p w14:paraId="4BDFF3C1">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开展</w:t>
      </w:r>
      <w:r>
        <w:rPr>
          <w:rFonts w:hint="eastAsia" w:ascii="宋体" w:hAnsi="Times New Roman" w:eastAsia="宋体" w:cs="Times New Roman"/>
          <w:color w:val="000000"/>
        </w:rPr>
        <w:t>治理维度过程评价</w:t>
      </w:r>
      <w:r>
        <w:rPr>
          <w:rFonts w:hint="eastAsia" w:ascii="宋体" w:hAnsi="Times New Roman" w:eastAsia="宋体" w:cs="Times New Roman"/>
          <w:color w:val="000000"/>
          <w:lang w:val="en-US" w:eastAsia="zh-CN"/>
        </w:rPr>
        <w:t>工作</w:t>
      </w:r>
      <w:r>
        <w:rPr>
          <w:rFonts w:hint="eastAsia" w:ascii="宋体" w:hAnsi="Times New Roman" w:eastAsia="宋体" w:cs="Times New Roman"/>
          <w:color w:val="000000"/>
        </w:rPr>
        <w:t>：</w:t>
      </w:r>
    </w:p>
    <w:p w14:paraId="384714C6">
      <w:pPr>
        <w:pStyle w:val="65"/>
        <w:numPr>
          <w:ilvl w:val="0"/>
          <w:numId w:val="87"/>
        </w:numPr>
        <w:tabs>
          <w:tab w:val="clear" w:pos="851"/>
        </w:tabs>
        <w:rPr>
          <w:rFonts w:hint="eastAsia"/>
          <w:color w:val="000000"/>
        </w:rPr>
      </w:pPr>
      <w:r>
        <w:rPr>
          <w:rFonts w:hint="eastAsia"/>
          <w:color w:val="000000"/>
        </w:rPr>
        <w:t>检查项目党建、安全生产、环保、合规管理制度执行记录；</w:t>
      </w:r>
    </w:p>
    <w:p w14:paraId="74810FEF">
      <w:pPr>
        <w:pStyle w:val="65"/>
        <w:numPr>
          <w:ilvl w:val="0"/>
          <w:numId w:val="87"/>
        </w:numPr>
        <w:tabs>
          <w:tab w:val="clear" w:pos="851"/>
        </w:tabs>
        <w:rPr>
          <w:rFonts w:hint="eastAsia"/>
          <w:color w:val="000000"/>
        </w:rPr>
      </w:pPr>
      <w:r>
        <w:rPr>
          <w:rFonts w:hint="eastAsia"/>
          <w:color w:val="000000"/>
        </w:rPr>
        <w:t>参与安全、环境隐患排查，跟踪整改闭环，记录风险处置台账；</w:t>
      </w:r>
    </w:p>
    <w:p w14:paraId="13BF9A95">
      <w:pPr>
        <w:pStyle w:val="65"/>
        <w:numPr>
          <w:ilvl w:val="0"/>
          <w:numId w:val="87"/>
        </w:numPr>
        <w:tabs>
          <w:tab w:val="clear" w:pos="851"/>
        </w:tabs>
        <w:rPr>
          <w:rFonts w:hint="eastAsia"/>
          <w:color w:val="000000"/>
        </w:rPr>
      </w:pPr>
      <w:r>
        <w:rPr>
          <w:rFonts w:hint="eastAsia"/>
          <w:color w:val="000000"/>
        </w:rPr>
        <w:t>核查工程变更、签证、采购环节反贿赂、内控流程执行；</w:t>
      </w:r>
    </w:p>
    <w:p w14:paraId="1803158E">
      <w:pPr>
        <w:pStyle w:val="66"/>
        <w:numPr>
          <w:ilvl w:val="4"/>
          <w:numId w:val="14"/>
        </w:numPr>
        <w:outlineLvl w:val="9"/>
        <w:rPr>
          <w:rFonts w:hint="eastAsia" w:ascii="宋体" w:hAnsi="Times New Roman" w:eastAsia="宋体" w:cs="Times New Roman"/>
          <w:color w:val="000000"/>
        </w:rPr>
      </w:pPr>
      <w:r>
        <w:rPr>
          <w:rFonts w:hint="eastAsia" w:ascii="宋体" w:hAnsi="Times New Roman" w:eastAsia="宋体" w:cs="Times New Roman"/>
          <w:color w:val="000000"/>
        </w:rPr>
        <w:t>依据</w:t>
      </w:r>
      <w:r>
        <w:rPr>
          <w:rFonts w:hint="eastAsia" w:ascii="宋体" w:hAnsi="Times New Roman" w:eastAsia="宋体" w:cs="Times New Roman"/>
          <w:color w:val="000000"/>
          <w:lang w:val="en-US" w:eastAsia="zh-CN"/>
        </w:rPr>
        <w:t>ESG相关评分规则</w:t>
      </w:r>
      <w:r>
        <w:rPr>
          <w:rFonts w:hint="eastAsia" w:ascii="宋体" w:hAnsi="Times New Roman" w:eastAsia="宋体" w:cs="Times New Roman"/>
          <w:color w:val="000000"/>
        </w:rPr>
        <w:t>开展</w:t>
      </w:r>
      <w:r>
        <w:rPr>
          <w:rFonts w:hint="eastAsia" w:ascii="宋体" w:hAnsi="Times New Roman" w:eastAsia="宋体" w:cs="Times New Roman"/>
          <w:color w:val="000000"/>
          <w:lang w:val="en-US" w:eastAsia="zh-CN"/>
        </w:rPr>
        <w:t>综合</w:t>
      </w:r>
      <w:r>
        <w:rPr>
          <w:rFonts w:hint="eastAsia" w:ascii="宋体" w:hAnsi="Times New Roman" w:eastAsia="宋体" w:cs="Times New Roman"/>
          <w:color w:val="000000"/>
        </w:rPr>
        <w:t>评分，出具ES</w:t>
      </w:r>
      <w:r>
        <w:rPr>
          <w:rFonts w:hint="eastAsia" w:ascii="宋体" w:hAnsi="Times New Roman" w:eastAsia="宋体" w:cs="Times New Roman"/>
          <w:color w:val="000000"/>
          <w:lang w:val="en-US" w:eastAsia="zh-CN"/>
        </w:rPr>
        <w:t>G</w:t>
      </w:r>
      <w:r>
        <w:rPr>
          <w:rFonts w:hint="eastAsia" w:ascii="宋体" w:hAnsi="Times New Roman" w:eastAsia="宋体" w:cs="Times New Roman"/>
          <w:color w:val="000000"/>
        </w:rPr>
        <w:t>评价</w:t>
      </w:r>
      <w:r>
        <w:rPr>
          <w:rFonts w:hint="eastAsia" w:ascii="宋体" w:hAnsi="Times New Roman" w:eastAsia="宋体" w:cs="Times New Roman"/>
          <w:color w:val="000000"/>
          <w:lang w:val="en-US" w:eastAsia="zh-CN"/>
        </w:rPr>
        <w:t>报告</w:t>
      </w:r>
      <w:r>
        <w:rPr>
          <w:rFonts w:hint="eastAsia" w:ascii="宋体" w:hAnsi="Times New Roman" w:eastAsia="宋体" w:cs="Times New Roman"/>
          <w:color w:val="000000"/>
        </w:rPr>
        <w:t>，识别短板并提出整改提升措施。</w:t>
      </w:r>
    </w:p>
    <w:bookmarkEnd w:id="402"/>
    <w:p w14:paraId="2C57569B">
      <w:pPr>
        <w:widowControl/>
        <w:jc w:val="left"/>
        <w:rPr>
          <w:rFonts w:ascii="宋体" w:hAnsi="Times New Roman"/>
          <w:color w:val="000000"/>
          <w:szCs w:val="20"/>
        </w:rPr>
      </w:pPr>
      <w:r>
        <w:rPr>
          <w:color w:val="000000"/>
        </w:rPr>
        <w:br w:type="page"/>
      </w:r>
    </w:p>
    <w:p w14:paraId="636CDA77">
      <w:pPr>
        <w:pStyle w:val="69"/>
        <w:spacing w:after="120"/>
        <w:rPr>
          <w:color w:val="000000"/>
        </w:rPr>
      </w:pPr>
      <w:bookmarkStart w:id="404" w:name="_Toc15715"/>
      <w:r>
        <w:rPr>
          <w:color w:val="000000"/>
        </w:rPr>
        <w:br w:type="textWrapping"/>
      </w:r>
      <w:r>
        <w:rPr>
          <w:rFonts w:hint="eastAsia"/>
          <w:color w:val="000000"/>
        </w:rPr>
        <w:t>（规范性）</w:t>
      </w:r>
      <w:r>
        <w:rPr>
          <w:color w:val="000000"/>
        </w:rPr>
        <w:br w:type="textWrapping"/>
      </w:r>
      <w:r>
        <w:rPr>
          <w:rFonts w:hint="eastAsia"/>
          <w:color w:val="000000"/>
        </w:rPr>
        <w:t>光伏发电工程全过程工程咨询服务清单</w:t>
      </w:r>
      <w:bookmarkEnd w:id="404"/>
    </w:p>
    <w:p w14:paraId="6E4EDA10">
      <w:pPr>
        <w:pStyle w:val="32"/>
        <w:ind w:firstLine="420"/>
        <w:rPr>
          <w:color w:val="000000"/>
        </w:rPr>
      </w:pPr>
      <w:r>
        <w:rPr>
          <w:rFonts w:hint="eastAsia"/>
          <w:color w:val="000000"/>
        </w:rPr>
        <w:t>光伏发电工程全过程工程咨询服务清单见表</w:t>
      </w:r>
      <w:r>
        <w:rPr>
          <w:rFonts w:hint="eastAsia"/>
          <w:color w:val="000000"/>
          <w:spacing w:val="-39"/>
        </w:rPr>
        <w:t xml:space="preserve"> </w:t>
      </w:r>
      <w:r>
        <w:rPr>
          <w:rFonts w:hint="eastAsia"/>
          <w:color w:val="000000"/>
        </w:rPr>
        <w:t>A.1。</w:t>
      </w:r>
    </w:p>
    <w:p w14:paraId="3E3B50E0">
      <w:pPr>
        <w:pStyle w:val="70"/>
        <w:spacing w:before="120" w:after="120"/>
        <w:rPr>
          <w:color w:val="000000"/>
        </w:rPr>
      </w:pPr>
      <w:r>
        <w:rPr>
          <w:rFonts w:hint="eastAsia"/>
          <w:color w:val="000000"/>
        </w:rPr>
        <w:t>光伏发电工程全过程工程咨询服务清单</w:t>
      </w:r>
    </w:p>
    <w:p w14:paraId="5E711C71">
      <w:pPr>
        <w:pStyle w:val="32"/>
        <w:ind w:firstLine="0" w:firstLineChars="0"/>
        <w:rPr>
          <w:color w:val="000000"/>
        </w:rPr>
      </w:pPr>
    </w:p>
    <w:tbl>
      <w:tblPr>
        <w:tblStyle w:val="20"/>
        <w:tblW w:w="524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14"/>
        <w:gridCol w:w="2541"/>
        <w:gridCol w:w="2532"/>
        <w:gridCol w:w="2654"/>
        <w:tblGridChange w:id="0">
          <w:tblGrid>
            <w:gridCol w:w="1078"/>
            <w:gridCol w:w="298"/>
            <w:gridCol w:w="738"/>
            <w:gridCol w:w="256"/>
            <w:gridCol w:w="371"/>
            <w:gridCol w:w="1915"/>
            <w:gridCol w:w="2531"/>
            <w:gridCol w:w="2654"/>
          </w:tblGrid>
        </w:tblGridChange>
      </w:tblGrid>
      <w:tr w14:paraId="05FB34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23" w:hRule="atLeast"/>
          <w:jc w:val="center"/>
        </w:trPr>
        <w:tc>
          <w:tcPr>
            <w:tcW w:w="1074" w:type="pct"/>
            <w:vMerge w:val="restart"/>
            <w:noWrap w:val="0"/>
            <w:vAlign w:val="center"/>
          </w:tcPr>
          <w:p w14:paraId="076994F4">
            <w:pPr>
              <w:pStyle w:val="71"/>
              <w:keepNext w:val="0"/>
              <w:keepLines w:val="0"/>
              <w:widowControl w:val="0"/>
              <w:suppressLineNumbers w:val="0"/>
              <w:spacing w:before="0" w:beforeAutospacing="0" w:after="0" w:afterAutospacing="0"/>
              <w:ind w:left="0" w:right="0"/>
              <w:rPr>
                <w:rFonts w:hint="eastAsia" w:hAnsi="Times New Roman" w:cs="Times New Roman"/>
                <w:color w:val="000000"/>
                <w:szCs w:val="20"/>
              </w:rPr>
            </w:pPr>
            <w:r>
              <w:rPr>
                <w:rFonts w:hint="eastAsia" w:hAnsi="Times New Roman" w:cs="Times New Roman"/>
                <w:color w:val="000000"/>
                <w:szCs w:val="20"/>
              </w:rPr>
              <w:t>咨询服务内容</w:t>
            </w:r>
          </w:p>
        </w:tc>
        <w:tc>
          <w:tcPr>
            <w:tcW w:w="3925" w:type="pct"/>
            <w:gridSpan w:val="3"/>
            <w:noWrap w:val="0"/>
            <w:vAlign w:val="center"/>
          </w:tcPr>
          <w:p w14:paraId="7C387973">
            <w:pPr>
              <w:pStyle w:val="71"/>
              <w:keepNext w:val="0"/>
              <w:keepLines w:val="0"/>
              <w:widowControl w:val="0"/>
              <w:suppressLineNumbers w:val="0"/>
              <w:spacing w:before="0" w:beforeAutospacing="0" w:after="0" w:afterAutospacing="0"/>
              <w:ind w:left="0" w:right="0"/>
              <w:jc w:val="center"/>
              <w:rPr>
                <w:rFonts w:hint="eastAsia" w:hAnsi="Times New Roman" w:cs="Times New Roman"/>
                <w:color w:val="000000"/>
                <w:szCs w:val="20"/>
              </w:rPr>
            </w:pPr>
            <w:r>
              <w:rPr>
                <w:rFonts w:hint="eastAsia" w:hAnsi="Times New Roman" w:cs="Times New Roman"/>
                <w:color w:val="000000"/>
                <w:szCs w:val="20"/>
              </w:rPr>
              <w:t>工程项目建设阶段</w:t>
            </w:r>
          </w:p>
        </w:tc>
      </w:tr>
      <w:tr w14:paraId="5CC91E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trHeight w:val="470" w:hRule="atLeast"/>
          <w:jc w:val="center"/>
        </w:trPr>
        <w:tc>
          <w:tcPr>
            <w:tcW w:w="1074" w:type="pct"/>
            <w:vMerge w:val="continue"/>
            <w:noWrap w:val="0"/>
            <w:vAlign w:val="center"/>
          </w:tcPr>
          <w:p w14:paraId="30AF4689">
            <w:pPr>
              <w:pStyle w:val="71"/>
              <w:keepNext w:val="0"/>
              <w:keepLines w:val="0"/>
              <w:widowControl w:val="0"/>
              <w:suppressLineNumbers w:val="0"/>
              <w:spacing w:before="0" w:beforeAutospacing="0" w:after="0" w:afterAutospacing="0"/>
              <w:ind w:left="0" w:right="0"/>
              <w:rPr>
                <w:rFonts w:hint="eastAsia" w:hAnsi="Times New Roman" w:cs="Times New Roman"/>
                <w:color w:val="000000"/>
                <w:szCs w:val="20"/>
              </w:rPr>
            </w:pPr>
          </w:p>
        </w:tc>
        <w:tc>
          <w:tcPr>
            <w:tcW w:w="1291" w:type="pct"/>
            <w:noWrap w:val="0"/>
            <w:vAlign w:val="center"/>
          </w:tcPr>
          <w:p w14:paraId="7E6AA59F">
            <w:pPr>
              <w:pStyle w:val="71"/>
              <w:keepNext w:val="0"/>
              <w:keepLines w:val="0"/>
              <w:widowControl w:val="0"/>
              <w:suppressLineNumbers w:val="0"/>
              <w:spacing w:before="0" w:beforeAutospacing="0" w:after="0" w:afterAutospacing="0"/>
              <w:ind w:left="0" w:right="0" w:firstLine="0" w:firstLineChars="0"/>
              <w:rPr>
                <w:rFonts w:hint="eastAsia" w:ascii="宋体" w:hAnsi="Times New Roman" w:eastAsia="宋体" w:cs="Times New Roman"/>
                <w:color w:val="000000"/>
                <w:sz w:val="18"/>
                <w:szCs w:val="20"/>
                <w:lang w:val="en-US" w:eastAsia="zh-CN" w:bidi="ar-SA"/>
              </w:rPr>
            </w:pPr>
            <w:r>
              <w:rPr>
                <w:rFonts w:hint="eastAsia" w:hAnsi="Times New Roman" w:cs="Times New Roman"/>
                <w:color w:val="000000"/>
                <w:szCs w:val="20"/>
                <w:lang w:val="en-US" w:eastAsia="zh-CN"/>
              </w:rPr>
              <w:t>投资决策阶段</w:t>
            </w:r>
          </w:p>
        </w:tc>
        <w:tc>
          <w:tcPr>
            <w:tcW w:w="1286" w:type="pct"/>
            <w:noWrap w:val="0"/>
            <w:vAlign w:val="center"/>
          </w:tcPr>
          <w:p w14:paraId="7A19BEFE">
            <w:pPr>
              <w:pStyle w:val="71"/>
              <w:keepNext w:val="0"/>
              <w:keepLines w:val="0"/>
              <w:widowControl w:val="0"/>
              <w:suppressLineNumbers w:val="0"/>
              <w:spacing w:before="0" w:beforeAutospacing="0" w:after="0" w:afterAutospacing="0"/>
              <w:ind w:left="0" w:right="0" w:firstLine="0" w:firstLineChars="0"/>
              <w:rPr>
                <w:rFonts w:hint="eastAsia" w:ascii="宋体" w:hAnsi="Times New Roman" w:eastAsia="宋体" w:cs="Times New Roman"/>
                <w:color w:val="000000"/>
                <w:sz w:val="18"/>
                <w:szCs w:val="20"/>
                <w:lang w:val="en-US" w:eastAsia="zh-CN" w:bidi="ar-SA"/>
              </w:rPr>
            </w:pPr>
            <w:r>
              <w:rPr>
                <w:rFonts w:hint="eastAsia" w:hAnsi="Times New Roman" w:cs="Times New Roman"/>
                <w:color w:val="000000"/>
                <w:szCs w:val="20"/>
              </w:rPr>
              <w:t>工程</w:t>
            </w:r>
            <w:r>
              <w:rPr>
                <w:rFonts w:hint="eastAsia" w:hAnsi="Times New Roman" w:cs="Times New Roman"/>
                <w:color w:val="000000"/>
                <w:szCs w:val="20"/>
                <w:lang w:val="en-US" w:eastAsia="zh-CN"/>
              </w:rPr>
              <w:t>建设准备阶段</w:t>
            </w:r>
          </w:p>
        </w:tc>
        <w:tc>
          <w:tcPr>
            <w:tcW w:w="1347" w:type="pct"/>
            <w:noWrap w:val="0"/>
            <w:vAlign w:val="center"/>
          </w:tcPr>
          <w:p w14:paraId="0516DEAD">
            <w:pPr>
              <w:pStyle w:val="71"/>
              <w:keepNext w:val="0"/>
              <w:keepLines w:val="0"/>
              <w:widowControl w:val="0"/>
              <w:suppressLineNumbers w:val="0"/>
              <w:spacing w:before="0" w:beforeAutospacing="0" w:after="0" w:afterAutospacing="0"/>
              <w:ind w:left="0" w:right="0" w:firstLine="0" w:firstLineChars="0"/>
              <w:rPr>
                <w:rFonts w:hint="eastAsia" w:ascii="宋体" w:hAnsi="Times New Roman" w:eastAsia="宋体" w:cs="Times New Roman"/>
                <w:color w:val="000000"/>
                <w:sz w:val="18"/>
                <w:szCs w:val="20"/>
                <w:lang w:val="en-US" w:eastAsia="zh-CN" w:bidi="ar-SA"/>
              </w:rPr>
            </w:pPr>
            <w:r>
              <w:rPr>
                <w:rFonts w:hint="eastAsia" w:hAnsi="Times New Roman" w:cs="Times New Roman"/>
                <w:color w:val="000000"/>
                <w:szCs w:val="20"/>
              </w:rPr>
              <w:t>工程</w:t>
            </w:r>
            <w:r>
              <w:rPr>
                <w:rFonts w:hint="eastAsia" w:hAnsi="Times New Roman" w:cs="Times New Roman"/>
                <w:color w:val="000000"/>
                <w:szCs w:val="20"/>
                <w:lang w:val="en-US" w:eastAsia="zh-CN"/>
              </w:rPr>
              <w:t>建设实施阶段</w:t>
            </w:r>
          </w:p>
        </w:tc>
      </w:tr>
      <w:tr w14:paraId="462791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664D25F0">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项目管理</w:t>
            </w:r>
          </w:p>
        </w:tc>
        <w:tc>
          <w:tcPr>
            <w:tcW w:w="1291" w:type="pct"/>
            <w:noWrap w:val="0"/>
            <w:vAlign w:val="center"/>
          </w:tcPr>
          <w:p w14:paraId="6AD73B4C">
            <w:pPr>
              <w:pStyle w:val="71"/>
              <w:keepNext w:val="0"/>
              <w:keepLines w:val="0"/>
              <w:widowControl w:val="0"/>
              <w:suppressLineNumbers w:val="0"/>
              <w:adjustRightInd w:val="0"/>
              <w:snapToGrid w:val="0"/>
              <w:spacing w:before="0" w:beforeAutospacing="0" w:after="0" w:afterAutospacing="0"/>
              <w:ind w:left="0" w:right="0"/>
              <w:jc w:val="left"/>
              <w:rPr>
                <w:rFonts w:hint="default" w:hAnsi="Times New Roman" w:eastAsia="宋体" w:cs="Times New Roman"/>
                <w:color w:val="000000"/>
                <w:szCs w:val="20"/>
                <w:lang w:val="en-US" w:eastAsia="zh-CN"/>
              </w:rPr>
            </w:pPr>
            <w:r>
              <w:rPr>
                <w:rFonts w:hint="eastAsia" w:hAnsi="Times New Roman" w:cs="Times New Roman"/>
                <w:color w:val="000000"/>
                <w:szCs w:val="20"/>
              </w:rPr>
              <w:t>1</w:t>
            </w:r>
            <w:r>
              <w:rPr>
                <w:rFonts w:hint="default" w:hAnsi="Times New Roman" w:cs="Times New Roman"/>
                <w:color w:val="000000"/>
                <w:szCs w:val="20"/>
              </w:rPr>
              <w:t>.</w:t>
            </w:r>
            <w:r>
              <w:rPr>
                <w:rFonts w:hint="eastAsia" w:hAnsi="Times New Roman" w:cs="Times New Roman"/>
                <w:color w:val="000000"/>
                <w:szCs w:val="20"/>
                <w:lang w:val="en-US" w:eastAsia="zh-CN"/>
              </w:rPr>
              <w:t>项目建议书</w:t>
            </w:r>
          </w:p>
          <w:p w14:paraId="29AAC196">
            <w:pPr>
              <w:pStyle w:val="71"/>
              <w:keepNext w:val="0"/>
              <w:keepLines w:val="0"/>
              <w:widowControl w:val="0"/>
              <w:suppressLineNumbers w:val="0"/>
              <w:adjustRightInd w:val="0"/>
              <w:snapToGrid w:val="0"/>
              <w:spacing w:before="0" w:beforeAutospacing="0" w:after="0" w:afterAutospacing="0"/>
              <w:ind w:left="0" w:right="0"/>
              <w:jc w:val="left"/>
              <w:rPr>
                <w:rFonts w:hint="default" w:hAnsi="Times New Roman" w:eastAsia="宋体" w:cs="Times New Roman"/>
                <w:color w:val="000000"/>
                <w:szCs w:val="20"/>
                <w:lang w:val="en-US" w:eastAsia="zh-CN"/>
              </w:rPr>
            </w:pPr>
            <w:r>
              <w:rPr>
                <w:rFonts w:hint="eastAsia" w:hAnsi="Times New Roman" w:cs="Times New Roman"/>
                <w:color w:val="000000"/>
                <w:szCs w:val="20"/>
              </w:rPr>
              <w:t>2.</w:t>
            </w:r>
            <w:r>
              <w:rPr>
                <w:rFonts w:hint="eastAsia" w:hAnsi="Times New Roman" w:cs="Times New Roman"/>
                <w:color w:val="000000"/>
                <w:szCs w:val="20"/>
                <w:lang w:val="en-US" w:eastAsia="zh-CN"/>
              </w:rPr>
              <w:t>可行性研究</w:t>
            </w:r>
          </w:p>
          <w:p w14:paraId="33FB7789">
            <w:pPr>
              <w:pStyle w:val="71"/>
              <w:keepNext w:val="0"/>
              <w:keepLines w:val="0"/>
              <w:widowControl w:val="0"/>
              <w:suppressLineNumbers w:val="0"/>
              <w:adjustRightInd w:val="0"/>
              <w:snapToGrid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rPr>
              <w:t>3</w:t>
            </w:r>
            <w:r>
              <w:rPr>
                <w:rFonts w:hint="default" w:hAnsi="Times New Roman" w:cs="Times New Roman"/>
                <w:color w:val="000000"/>
                <w:szCs w:val="20"/>
              </w:rPr>
              <w:t>.</w:t>
            </w:r>
            <w:r>
              <w:rPr>
                <w:rFonts w:hint="eastAsia" w:hAnsi="Times New Roman" w:cs="Times New Roman"/>
                <w:color w:val="000000"/>
                <w:szCs w:val="20"/>
                <w:lang w:val="en-US" w:eastAsia="zh-CN"/>
              </w:rPr>
              <w:t>项目备案</w:t>
            </w:r>
          </w:p>
          <w:p w14:paraId="028050E3">
            <w:pPr>
              <w:pStyle w:val="71"/>
              <w:keepNext w:val="0"/>
              <w:keepLines w:val="0"/>
              <w:widowControl w:val="0"/>
              <w:suppressLineNumbers w:val="0"/>
              <w:adjustRightInd w:val="0"/>
              <w:snapToGrid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4.选址选线</w:t>
            </w:r>
          </w:p>
          <w:p w14:paraId="1BBCE0EA">
            <w:pPr>
              <w:pStyle w:val="71"/>
              <w:keepNext w:val="0"/>
              <w:keepLines w:val="0"/>
              <w:widowControl w:val="0"/>
              <w:suppressLineNumbers w:val="0"/>
              <w:adjustRightInd w:val="0"/>
              <w:snapToGrid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5.光资源评估</w:t>
            </w:r>
          </w:p>
          <w:p w14:paraId="5BBB1348">
            <w:pPr>
              <w:pStyle w:val="71"/>
              <w:keepNext w:val="0"/>
              <w:keepLines w:val="0"/>
              <w:widowControl w:val="0"/>
              <w:suppressLineNumbers w:val="0"/>
              <w:adjustRightInd w:val="0"/>
              <w:snapToGrid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6.环境影响评价</w:t>
            </w:r>
          </w:p>
          <w:p w14:paraId="3CE8AB4A">
            <w:pPr>
              <w:pStyle w:val="71"/>
              <w:keepNext w:val="0"/>
              <w:keepLines w:val="0"/>
              <w:widowControl w:val="0"/>
              <w:suppressLineNumbers w:val="0"/>
              <w:adjustRightInd w:val="0"/>
              <w:snapToGrid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7.阴影遮挡分析</w:t>
            </w:r>
          </w:p>
          <w:p w14:paraId="5A60F014">
            <w:pPr>
              <w:pStyle w:val="71"/>
              <w:keepNext w:val="0"/>
              <w:keepLines w:val="0"/>
              <w:widowControl w:val="0"/>
              <w:suppressLineNumbers w:val="0"/>
              <w:adjustRightInd w:val="0"/>
              <w:snapToGrid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8.接网消纳</w:t>
            </w:r>
          </w:p>
          <w:p w14:paraId="4219F0C8">
            <w:pPr>
              <w:pStyle w:val="71"/>
              <w:keepNext w:val="0"/>
              <w:keepLines w:val="0"/>
              <w:widowControl w:val="0"/>
              <w:suppressLineNumbers w:val="0"/>
              <w:adjustRightInd w:val="0"/>
              <w:snapToGrid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9.生态评估</w:t>
            </w:r>
          </w:p>
          <w:p w14:paraId="063515E3">
            <w:pPr>
              <w:pStyle w:val="71"/>
              <w:keepNext w:val="0"/>
              <w:keepLines w:val="0"/>
              <w:widowControl w:val="0"/>
              <w:suppressLineNumbers w:val="0"/>
              <w:adjustRightInd w:val="0"/>
              <w:snapToGrid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10.水土保持论证</w:t>
            </w:r>
          </w:p>
          <w:p w14:paraId="619CCED1">
            <w:pPr>
              <w:pStyle w:val="71"/>
              <w:keepNext w:val="0"/>
              <w:keepLines w:val="0"/>
              <w:widowControl w:val="0"/>
              <w:suppressLineNumbers w:val="0"/>
              <w:adjustRightInd w:val="0"/>
              <w:snapToGrid w:val="0"/>
              <w:spacing w:before="0" w:beforeAutospacing="0" w:after="0" w:afterAutospacing="0"/>
              <w:ind w:left="0" w:right="0"/>
              <w:jc w:val="left"/>
              <w:rPr>
                <w:rFonts w:hint="default" w:hAnsi="Times New Roman" w:cs="Times New Roman"/>
                <w:color w:val="000000"/>
                <w:szCs w:val="20"/>
                <w:lang w:val="en-US" w:eastAsia="zh-CN"/>
              </w:rPr>
            </w:pPr>
            <w:r>
              <w:rPr>
                <w:rFonts w:hint="eastAsia" w:hAnsi="Times New Roman" w:cs="Times New Roman"/>
                <w:color w:val="000000"/>
                <w:szCs w:val="20"/>
                <w:lang w:val="en-US" w:eastAsia="zh-CN"/>
              </w:rPr>
              <w:t>海上光伏项目：军事设施影响评估、海洋环境影响评价</w:t>
            </w:r>
          </w:p>
        </w:tc>
        <w:tc>
          <w:tcPr>
            <w:tcW w:w="1286" w:type="pct"/>
            <w:noWrap w:val="0"/>
            <w:vAlign w:val="center"/>
          </w:tcPr>
          <w:p w14:paraId="7326B9CC">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rPr>
              <w:t>1</w:t>
            </w:r>
            <w:r>
              <w:rPr>
                <w:rFonts w:hint="default" w:hAnsi="Times New Roman" w:cs="Times New Roman"/>
                <w:color w:val="000000"/>
                <w:szCs w:val="20"/>
              </w:rPr>
              <w:t>.</w:t>
            </w:r>
            <w:r>
              <w:rPr>
                <w:rFonts w:hint="eastAsia" w:hAnsi="Times New Roman" w:cs="Times New Roman"/>
                <w:color w:val="000000"/>
                <w:szCs w:val="20"/>
                <w:lang w:val="en-US" w:eastAsia="zh-CN"/>
              </w:rPr>
              <w:t>勘察成果审查</w:t>
            </w:r>
          </w:p>
          <w:p w14:paraId="4D0E7926">
            <w:pPr>
              <w:pStyle w:val="71"/>
              <w:keepNext w:val="0"/>
              <w:keepLines w:val="0"/>
              <w:widowControl w:val="0"/>
              <w:suppressLineNumbers w:val="0"/>
              <w:spacing w:before="0" w:beforeAutospacing="0" w:after="0" w:afterAutospacing="0"/>
              <w:ind w:left="0" w:right="0"/>
              <w:jc w:val="left"/>
              <w:rPr>
                <w:rFonts w:hint="default" w:hAnsi="Times New Roman" w:cs="Times New Roman"/>
                <w:color w:val="000000"/>
                <w:szCs w:val="20"/>
                <w:lang w:val="en-US" w:eastAsia="zh-CN"/>
              </w:rPr>
            </w:pPr>
            <w:r>
              <w:rPr>
                <w:rFonts w:hint="eastAsia" w:hAnsi="Times New Roman" w:cs="Times New Roman"/>
                <w:color w:val="000000"/>
                <w:szCs w:val="20"/>
                <w:lang w:val="en-US" w:eastAsia="zh-CN"/>
              </w:rPr>
              <w:t>2.招标工作</w:t>
            </w:r>
          </w:p>
          <w:p w14:paraId="07E379B1">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3.</w:t>
            </w:r>
            <w:r>
              <w:rPr>
                <w:rFonts w:hint="eastAsia" w:hAnsi="Times New Roman" w:cs="Times New Roman"/>
                <w:color w:val="000000"/>
                <w:szCs w:val="20"/>
              </w:rPr>
              <w:t>相关行政许可手续</w:t>
            </w:r>
            <w:r>
              <w:rPr>
                <w:rFonts w:hint="eastAsia" w:hAnsi="Times New Roman" w:cs="Times New Roman"/>
                <w:color w:val="000000"/>
                <w:szCs w:val="20"/>
                <w:lang w:val="en-US" w:eastAsia="zh-CN"/>
              </w:rPr>
              <w:t>办理</w:t>
            </w:r>
          </w:p>
          <w:p w14:paraId="64F0032E">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4.</w:t>
            </w:r>
            <w:r>
              <w:rPr>
                <w:rFonts w:hint="eastAsia" w:hAnsi="Times New Roman" w:cs="Times New Roman"/>
                <w:color w:val="000000"/>
                <w:szCs w:val="20"/>
              </w:rPr>
              <w:t>初步设计</w:t>
            </w:r>
            <w:r>
              <w:rPr>
                <w:rFonts w:hint="eastAsia" w:hAnsi="Times New Roman" w:cs="Times New Roman"/>
                <w:color w:val="000000"/>
                <w:szCs w:val="20"/>
                <w:lang w:val="en-US" w:eastAsia="zh-CN"/>
              </w:rPr>
              <w:t>评审</w:t>
            </w:r>
          </w:p>
          <w:p w14:paraId="5FB2119D">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5.施工图会审</w:t>
            </w:r>
          </w:p>
          <w:p w14:paraId="26D1BBF3">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6.项目策划文件编写</w:t>
            </w:r>
          </w:p>
          <w:p w14:paraId="1661454D">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7.组织第一次工地会议</w:t>
            </w:r>
          </w:p>
          <w:p w14:paraId="72094EF4">
            <w:pPr>
              <w:pStyle w:val="71"/>
              <w:keepNext w:val="0"/>
              <w:keepLines w:val="0"/>
              <w:widowControl w:val="0"/>
              <w:suppressLineNumbers w:val="0"/>
              <w:spacing w:before="0" w:beforeAutospacing="0" w:after="0" w:afterAutospacing="0"/>
              <w:ind w:left="0" w:right="0"/>
              <w:jc w:val="left"/>
              <w:rPr>
                <w:rFonts w:hint="default" w:hAnsi="Times New Roman" w:cs="Times New Roman"/>
                <w:color w:val="000000"/>
                <w:szCs w:val="20"/>
                <w:lang w:val="en-US" w:eastAsia="zh-CN"/>
              </w:rPr>
            </w:pPr>
            <w:r>
              <w:rPr>
                <w:rFonts w:hint="eastAsia" w:hAnsi="Times New Roman" w:cs="Times New Roman"/>
                <w:color w:val="000000"/>
                <w:szCs w:val="20"/>
                <w:lang w:val="en-US" w:eastAsia="zh-CN"/>
              </w:rPr>
              <w:t>8.</w:t>
            </w:r>
            <w:r>
              <w:rPr>
                <w:rFonts w:hint="eastAsia" w:hAnsi="Times New Roman" w:cs="Times New Roman"/>
                <w:color w:val="000000"/>
                <w:szCs w:val="20"/>
              </w:rPr>
              <w:t>征地</w:t>
            </w:r>
            <w:r>
              <w:rPr>
                <w:rFonts w:hint="eastAsia" w:hAnsi="Times New Roman" w:cs="Times New Roman"/>
                <w:color w:val="000000"/>
                <w:szCs w:val="20"/>
                <w:lang w:val="en-US" w:eastAsia="zh-CN"/>
              </w:rPr>
              <w:t>及</w:t>
            </w:r>
            <w:r>
              <w:rPr>
                <w:rFonts w:hint="eastAsia" w:hAnsi="Times New Roman" w:cs="Times New Roman"/>
                <w:color w:val="000000"/>
                <w:szCs w:val="20"/>
              </w:rPr>
              <w:t>青</w:t>
            </w:r>
            <w:r>
              <w:rPr>
                <w:rFonts w:hint="eastAsia" w:hAnsi="Times New Roman" w:cs="Times New Roman"/>
                <w:color w:val="000000"/>
                <w:szCs w:val="20"/>
                <w:lang w:val="en-US" w:eastAsia="zh-CN"/>
              </w:rPr>
              <w:t>苗补偿</w:t>
            </w:r>
          </w:p>
        </w:tc>
        <w:tc>
          <w:tcPr>
            <w:tcW w:w="1347" w:type="pct"/>
            <w:noWrap w:val="0"/>
            <w:vAlign w:val="center"/>
          </w:tcPr>
          <w:p w14:paraId="6BF28B8B">
            <w:pPr>
              <w:pStyle w:val="71"/>
              <w:keepNext w:val="0"/>
              <w:keepLines w:val="0"/>
              <w:widowControl w:val="0"/>
              <w:suppressLineNumbers w:val="0"/>
              <w:spacing w:before="0" w:beforeAutospacing="0" w:after="0" w:afterAutospacing="0"/>
              <w:ind w:left="0" w:right="0"/>
              <w:jc w:val="left"/>
              <w:rPr>
                <w:rFonts w:hint="default" w:hAnsi="Times New Roman" w:cs="Times New Roman"/>
                <w:color w:val="000000"/>
                <w:szCs w:val="20"/>
              </w:rPr>
            </w:pPr>
            <w:r>
              <w:rPr>
                <w:rFonts w:hint="eastAsia" w:hAnsi="Times New Roman" w:cs="Times New Roman"/>
                <w:color w:val="000000"/>
                <w:szCs w:val="20"/>
              </w:rPr>
              <w:t>1</w:t>
            </w:r>
            <w:r>
              <w:rPr>
                <w:rFonts w:hint="default" w:hAnsi="Times New Roman" w:cs="Times New Roman"/>
                <w:color w:val="000000"/>
                <w:szCs w:val="20"/>
              </w:rPr>
              <w:t>.</w:t>
            </w:r>
            <w:r>
              <w:rPr>
                <w:rFonts w:hint="eastAsia" w:hAnsi="Times New Roman" w:cs="Times New Roman"/>
                <w:color w:val="000000"/>
                <w:szCs w:val="20"/>
              </w:rPr>
              <w:t>质量管理</w:t>
            </w:r>
          </w:p>
          <w:p w14:paraId="08F83AE2">
            <w:pPr>
              <w:pStyle w:val="71"/>
              <w:keepNext w:val="0"/>
              <w:keepLines w:val="0"/>
              <w:widowControl w:val="0"/>
              <w:suppressLineNumbers w:val="0"/>
              <w:spacing w:before="0" w:beforeAutospacing="0" w:after="0" w:afterAutospacing="0"/>
              <w:ind w:left="0" w:right="0"/>
              <w:jc w:val="left"/>
              <w:rPr>
                <w:rFonts w:hint="default" w:hAnsi="Times New Roman" w:cs="Times New Roman"/>
                <w:color w:val="000000"/>
                <w:szCs w:val="20"/>
              </w:rPr>
            </w:pPr>
            <w:r>
              <w:rPr>
                <w:rFonts w:hint="eastAsia" w:hAnsi="Times New Roman" w:cs="Times New Roman"/>
                <w:color w:val="000000"/>
                <w:szCs w:val="20"/>
              </w:rPr>
              <w:t>2</w:t>
            </w:r>
            <w:r>
              <w:rPr>
                <w:rFonts w:hint="default" w:hAnsi="Times New Roman" w:cs="Times New Roman"/>
                <w:color w:val="000000"/>
                <w:szCs w:val="20"/>
              </w:rPr>
              <w:t>.</w:t>
            </w:r>
            <w:r>
              <w:rPr>
                <w:rFonts w:hint="eastAsia" w:hAnsi="Times New Roman" w:cs="Times New Roman"/>
                <w:color w:val="000000"/>
                <w:szCs w:val="20"/>
              </w:rPr>
              <w:t>职业健康安全管理</w:t>
            </w:r>
          </w:p>
          <w:p w14:paraId="79AD0BF0">
            <w:pPr>
              <w:pStyle w:val="71"/>
              <w:keepNext w:val="0"/>
              <w:keepLines w:val="0"/>
              <w:widowControl w:val="0"/>
              <w:suppressLineNumbers w:val="0"/>
              <w:spacing w:before="0" w:beforeAutospacing="0" w:after="0" w:afterAutospacing="0"/>
              <w:ind w:left="0" w:right="0"/>
              <w:jc w:val="left"/>
              <w:rPr>
                <w:rFonts w:hint="default" w:hAnsi="Times New Roman" w:cs="Times New Roman"/>
                <w:color w:val="000000"/>
                <w:szCs w:val="20"/>
              </w:rPr>
            </w:pPr>
            <w:r>
              <w:rPr>
                <w:rFonts w:hint="eastAsia" w:hAnsi="Times New Roman" w:cs="Times New Roman"/>
                <w:color w:val="000000"/>
                <w:szCs w:val="20"/>
              </w:rPr>
              <w:t>3</w:t>
            </w:r>
            <w:r>
              <w:rPr>
                <w:rFonts w:hint="default" w:hAnsi="Times New Roman" w:cs="Times New Roman"/>
                <w:color w:val="000000"/>
                <w:szCs w:val="20"/>
              </w:rPr>
              <w:t>.</w:t>
            </w:r>
            <w:r>
              <w:rPr>
                <w:rFonts w:hint="eastAsia" w:hAnsi="Times New Roman" w:cs="Times New Roman"/>
                <w:color w:val="000000"/>
                <w:szCs w:val="20"/>
              </w:rPr>
              <w:t>进度管理</w:t>
            </w:r>
          </w:p>
          <w:p w14:paraId="73295911">
            <w:pPr>
              <w:pStyle w:val="71"/>
              <w:keepNext w:val="0"/>
              <w:keepLines w:val="0"/>
              <w:widowControl w:val="0"/>
              <w:suppressLineNumbers w:val="0"/>
              <w:spacing w:before="0" w:beforeAutospacing="0" w:after="0" w:afterAutospacing="0"/>
              <w:ind w:left="0" w:right="0"/>
              <w:jc w:val="left"/>
              <w:rPr>
                <w:rFonts w:hint="default" w:hAnsi="Times New Roman" w:eastAsia="宋体" w:cs="Times New Roman"/>
                <w:color w:val="000000"/>
                <w:szCs w:val="20"/>
                <w:lang w:val="en-US" w:eastAsia="zh-CN"/>
              </w:rPr>
            </w:pPr>
            <w:r>
              <w:rPr>
                <w:rFonts w:hint="eastAsia" w:hAnsi="Times New Roman" w:cs="Times New Roman"/>
                <w:color w:val="000000"/>
                <w:szCs w:val="20"/>
              </w:rPr>
              <w:t>4</w:t>
            </w:r>
            <w:r>
              <w:rPr>
                <w:rFonts w:hint="default" w:hAnsi="Times New Roman" w:cs="Times New Roman"/>
                <w:color w:val="000000"/>
                <w:szCs w:val="20"/>
              </w:rPr>
              <w:t>.</w:t>
            </w:r>
            <w:r>
              <w:rPr>
                <w:rFonts w:hint="eastAsia" w:hAnsi="Times New Roman" w:cs="Times New Roman"/>
                <w:color w:val="000000"/>
                <w:szCs w:val="20"/>
                <w:lang w:val="en-US" w:eastAsia="zh-CN"/>
              </w:rPr>
              <w:t>合同管理</w:t>
            </w:r>
          </w:p>
          <w:p w14:paraId="755027E4">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rPr>
            </w:pPr>
            <w:r>
              <w:rPr>
                <w:rFonts w:hint="eastAsia" w:hAnsi="Times New Roman" w:cs="Times New Roman"/>
                <w:color w:val="000000"/>
                <w:szCs w:val="20"/>
                <w:lang w:val="en-US" w:eastAsia="zh-CN"/>
              </w:rPr>
              <w:t>5.</w:t>
            </w:r>
            <w:r>
              <w:rPr>
                <w:rFonts w:hint="eastAsia" w:hAnsi="Times New Roman" w:cs="Times New Roman"/>
                <w:color w:val="000000"/>
                <w:szCs w:val="20"/>
              </w:rPr>
              <w:t>造价管理</w:t>
            </w:r>
          </w:p>
          <w:p w14:paraId="5134BF89">
            <w:pPr>
              <w:pStyle w:val="71"/>
              <w:keepNext w:val="0"/>
              <w:keepLines w:val="0"/>
              <w:widowControl w:val="0"/>
              <w:suppressLineNumbers w:val="0"/>
              <w:spacing w:before="0" w:beforeAutospacing="0" w:after="0" w:afterAutospacing="0"/>
              <w:ind w:left="0" w:right="0"/>
              <w:jc w:val="left"/>
              <w:rPr>
                <w:rFonts w:hint="default" w:hAnsi="Times New Roman" w:eastAsia="宋体" w:cs="Times New Roman"/>
                <w:color w:val="000000"/>
                <w:szCs w:val="20"/>
                <w:lang w:val="en-US" w:eastAsia="zh-CN"/>
              </w:rPr>
            </w:pPr>
            <w:r>
              <w:rPr>
                <w:rFonts w:hint="eastAsia" w:hAnsi="Times New Roman" w:cs="Times New Roman"/>
                <w:color w:val="000000"/>
                <w:szCs w:val="20"/>
                <w:lang w:val="en-US" w:eastAsia="zh-CN"/>
              </w:rPr>
              <w:t>6.设计管理</w:t>
            </w:r>
          </w:p>
          <w:p w14:paraId="0569A1DD">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rPr>
            </w:pPr>
            <w:r>
              <w:rPr>
                <w:rFonts w:hint="eastAsia" w:hAnsi="Times New Roman" w:cs="Times New Roman"/>
                <w:color w:val="000000"/>
                <w:szCs w:val="20"/>
                <w:lang w:val="en-US" w:eastAsia="zh-CN"/>
              </w:rPr>
              <w:t>7</w:t>
            </w:r>
            <w:r>
              <w:rPr>
                <w:rFonts w:hint="default" w:hAnsi="Times New Roman" w:cs="Times New Roman"/>
                <w:color w:val="000000"/>
                <w:szCs w:val="20"/>
              </w:rPr>
              <w:t>.</w:t>
            </w:r>
            <w:r>
              <w:rPr>
                <w:rFonts w:hint="eastAsia" w:hAnsi="Times New Roman" w:cs="Times New Roman"/>
                <w:color w:val="000000"/>
                <w:szCs w:val="20"/>
              </w:rPr>
              <w:t>物资管理</w:t>
            </w:r>
          </w:p>
          <w:p w14:paraId="56763572">
            <w:pPr>
              <w:pStyle w:val="71"/>
              <w:keepNext w:val="0"/>
              <w:keepLines w:val="0"/>
              <w:widowControl w:val="0"/>
              <w:suppressLineNumbers w:val="0"/>
              <w:spacing w:before="0" w:beforeAutospacing="0" w:after="0" w:afterAutospacing="0"/>
              <w:ind w:left="0" w:right="0"/>
              <w:jc w:val="left"/>
              <w:rPr>
                <w:rFonts w:hint="default" w:hAnsi="Times New Roman" w:cs="Times New Roman"/>
                <w:color w:val="000000"/>
                <w:szCs w:val="20"/>
              </w:rPr>
            </w:pPr>
            <w:r>
              <w:rPr>
                <w:rFonts w:hint="eastAsia" w:hAnsi="Times New Roman" w:cs="Times New Roman"/>
                <w:color w:val="000000"/>
                <w:szCs w:val="20"/>
                <w:lang w:val="en-US" w:eastAsia="zh-CN"/>
              </w:rPr>
              <w:t>8.环境保护管理</w:t>
            </w:r>
          </w:p>
          <w:p w14:paraId="14A932EB">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rPr>
            </w:pPr>
            <w:r>
              <w:rPr>
                <w:rFonts w:hint="eastAsia" w:hAnsi="Times New Roman" w:cs="Times New Roman"/>
                <w:color w:val="000000"/>
                <w:szCs w:val="20"/>
                <w:lang w:val="en-US" w:eastAsia="zh-CN"/>
              </w:rPr>
              <w:t>9</w:t>
            </w:r>
            <w:r>
              <w:rPr>
                <w:rFonts w:hint="default" w:hAnsi="Times New Roman" w:cs="Times New Roman"/>
                <w:color w:val="000000"/>
                <w:szCs w:val="20"/>
              </w:rPr>
              <w:t>.</w:t>
            </w:r>
            <w:r>
              <w:rPr>
                <w:rFonts w:hint="eastAsia" w:hAnsi="Times New Roman" w:cs="Times New Roman"/>
                <w:color w:val="000000"/>
                <w:szCs w:val="20"/>
              </w:rPr>
              <w:t>档案信息管理</w:t>
            </w:r>
          </w:p>
          <w:p w14:paraId="6C0328F4">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rPr>
            </w:pPr>
            <w:r>
              <w:rPr>
                <w:rFonts w:hint="eastAsia" w:hAnsi="Times New Roman" w:cs="Times New Roman"/>
                <w:color w:val="000000"/>
                <w:szCs w:val="20"/>
                <w:lang w:val="en-US" w:eastAsia="zh-CN"/>
              </w:rPr>
              <w:t>10.</w:t>
            </w:r>
            <w:r>
              <w:rPr>
                <w:rFonts w:hint="eastAsia" w:hAnsi="Times New Roman" w:cs="Times New Roman"/>
                <w:color w:val="000000"/>
                <w:szCs w:val="20"/>
              </w:rPr>
              <w:t>启动验收管理</w:t>
            </w:r>
          </w:p>
          <w:p w14:paraId="32738DD8">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11.质量保修</w:t>
            </w:r>
          </w:p>
          <w:p w14:paraId="61AE43BA">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rPr>
            </w:pPr>
            <w:r>
              <w:rPr>
                <w:rFonts w:hint="eastAsia" w:hAnsi="Times New Roman" w:cs="Times New Roman"/>
                <w:color w:val="000000"/>
                <w:szCs w:val="20"/>
                <w:lang w:val="en-US" w:eastAsia="zh-CN"/>
              </w:rPr>
              <w:t>12.</w:t>
            </w:r>
            <w:r>
              <w:rPr>
                <w:rFonts w:hint="eastAsia" w:hAnsi="Times New Roman" w:cs="Times New Roman"/>
                <w:color w:val="000000"/>
                <w:szCs w:val="20"/>
              </w:rPr>
              <w:t>竣工结算、决算</w:t>
            </w:r>
          </w:p>
          <w:p w14:paraId="7895A779">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13.竣工验收</w:t>
            </w:r>
          </w:p>
          <w:p w14:paraId="27852229">
            <w:pPr>
              <w:pStyle w:val="71"/>
              <w:keepNext w:val="0"/>
              <w:keepLines w:val="0"/>
              <w:widowControl w:val="0"/>
              <w:suppressLineNumbers w:val="0"/>
              <w:spacing w:before="0" w:beforeAutospacing="0" w:after="0" w:afterAutospacing="0"/>
              <w:ind w:left="0" w:right="0"/>
              <w:jc w:val="left"/>
              <w:rPr>
                <w:rFonts w:hint="eastAsia" w:hAnsi="Times New Roman" w:cs="Times New Roman"/>
                <w:color w:val="000000"/>
                <w:szCs w:val="20"/>
                <w:lang w:val="en-US" w:eastAsia="zh-CN"/>
              </w:rPr>
            </w:pPr>
            <w:r>
              <w:rPr>
                <w:rFonts w:hint="eastAsia" w:hAnsi="Times New Roman" w:cs="Times New Roman"/>
                <w:color w:val="000000"/>
                <w:szCs w:val="20"/>
                <w:lang w:val="en-US" w:eastAsia="zh-CN"/>
              </w:rPr>
              <w:t>14.工程达标投产及工程质量提升</w:t>
            </w:r>
          </w:p>
          <w:p w14:paraId="468AF15A">
            <w:pPr>
              <w:pStyle w:val="71"/>
              <w:keepNext w:val="0"/>
              <w:keepLines w:val="0"/>
              <w:widowControl w:val="0"/>
              <w:suppressLineNumbers w:val="0"/>
              <w:spacing w:before="0" w:beforeAutospacing="0" w:after="0" w:afterAutospacing="0"/>
              <w:ind w:left="0" w:right="0"/>
              <w:jc w:val="left"/>
              <w:rPr>
                <w:rFonts w:hint="default" w:hAnsi="Times New Roman" w:cs="Times New Roman"/>
                <w:color w:val="000000"/>
                <w:szCs w:val="20"/>
                <w:lang w:val="en-US" w:eastAsia="zh-CN"/>
              </w:rPr>
            </w:pPr>
            <w:r>
              <w:rPr>
                <w:rFonts w:hint="eastAsia" w:hAnsi="Times New Roman" w:cs="Times New Roman"/>
                <w:color w:val="000000"/>
                <w:szCs w:val="20"/>
                <w:lang w:val="en-US" w:eastAsia="zh-CN"/>
              </w:rPr>
              <w:t>15.工程总结评价</w:t>
            </w:r>
          </w:p>
        </w:tc>
      </w:tr>
      <w:tr w14:paraId="543D02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trHeight w:val="461" w:hRule="atLeast"/>
          <w:jc w:val="center"/>
        </w:trPr>
        <w:tc>
          <w:tcPr>
            <w:tcW w:w="1074" w:type="pct"/>
            <w:noWrap w:val="0"/>
            <w:vAlign w:val="center"/>
          </w:tcPr>
          <w:p w14:paraId="74676AAF">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投资决策咨询</w:t>
            </w:r>
          </w:p>
        </w:tc>
        <w:tc>
          <w:tcPr>
            <w:tcW w:w="1291" w:type="pct"/>
            <w:noWrap w:val="0"/>
            <w:vAlign w:val="center"/>
          </w:tcPr>
          <w:p w14:paraId="4443CA91">
            <w:pPr>
              <w:pStyle w:val="71"/>
              <w:keepNext w:val="0"/>
              <w:keepLines w:val="0"/>
              <w:widowControl w:val="0"/>
              <w:suppressLineNumbers w:val="0"/>
              <w:adjustRightInd w:val="0"/>
              <w:snapToGrid w:val="0"/>
              <w:spacing w:before="0" w:beforeAutospacing="0" w:after="0" w:afterAutospacing="0"/>
              <w:ind w:left="0" w:right="0"/>
              <w:jc w:val="left"/>
              <w:rPr>
                <w:rFonts w:hint="default" w:hAnsi="Times New Roman" w:eastAsia="宋体" w:cs="Times New Roman"/>
                <w:color w:val="000000"/>
                <w:szCs w:val="20"/>
                <w:lang w:val="en-US" w:eastAsia="zh-CN"/>
              </w:rPr>
            </w:pPr>
            <w:r>
              <w:rPr>
                <w:rFonts w:hint="eastAsia" w:hAnsi="Times New Roman" w:cs="Times New Roman"/>
                <w:color w:val="000000"/>
                <w:szCs w:val="20"/>
              </w:rPr>
              <w:t>1</w:t>
            </w:r>
            <w:r>
              <w:rPr>
                <w:rFonts w:hint="default" w:hAnsi="Times New Roman" w:cs="Times New Roman"/>
                <w:color w:val="000000"/>
                <w:szCs w:val="20"/>
              </w:rPr>
              <w:t>.</w:t>
            </w:r>
            <w:r>
              <w:rPr>
                <w:rFonts w:hint="eastAsia" w:hAnsi="Times New Roman" w:cs="Times New Roman"/>
                <w:color w:val="000000"/>
                <w:szCs w:val="20"/>
                <w:lang w:val="en-US" w:eastAsia="zh-CN"/>
              </w:rPr>
              <w:t>项目建议书</w:t>
            </w:r>
          </w:p>
          <w:p w14:paraId="4FACE72F">
            <w:pPr>
              <w:pStyle w:val="71"/>
              <w:keepNext w:val="0"/>
              <w:keepLines w:val="0"/>
              <w:widowControl w:val="0"/>
              <w:suppressLineNumbers w:val="0"/>
              <w:adjustRightInd w:val="0"/>
              <w:snapToGrid w:val="0"/>
              <w:spacing w:before="0" w:beforeAutospacing="0" w:after="0" w:afterAutospacing="0"/>
              <w:ind w:left="0" w:right="0"/>
              <w:jc w:val="left"/>
              <w:rPr>
                <w:rFonts w:hint="default" w:hAnsi="Times New Roman" w:cs="Times New Roman"/>
                <w:color w:val="000000"/>
                <w:szCs w:val="20"/>
              </w:rPr>
            </w:pPr>
            <w:r>
              <w:rPr>
                <w:rFonts w:hint="eastAsia" w:hAnsi="Times New Roman" w:cs="Times New Roman"/>
                <w:color w:val="000000"/>
                <w:szCs w:val="20"/>
              </w:rPr>
              <w:t>2</w:t>
            </w:r>
            <w:r>
              <w:rPr>
                <w:rFonts w:hint="default" w:hAnsi="Times New Roman" w:cs="Times New Roman"/>
                <w:color w:val="000000"/>
                <w:szCs w:val="20"/>
              </w:rPr>
              <w:t>.</w:t>
            </w:r>
            <w:r>
              <w:rPr>
                <w:rFonts w:hint="eastAsia" w:hAnsi="Times New Roman" w:cs="Times New Roman"/>
                <w:color w:val="000000"/>
                <w:szCs w:val="20"/>
              </w:rPr>
              <w:t>可行性研究</w:t>
            </w:r>
          </w:p>
          <w:p w14:paraId="7E6CB40E">
            <w:pPr>
              <w:pStyle w:val="71"/>
              <w:keepNext w:val="0"/>
              <w:keepLines w:val="0"/>
              <w:widowControl w:val="0"/>
              <w:suppressLineNumbers w:val="0"/>
              <w:adjustRightInd w:val="0"/>
              <w:snapToGrid w:val="0"/>
              <w:spacing w:before="0" w:beforeAutospacing="0" w:after="0" w:afterAutospacing="0"/>
              <w:ind w:left="0" w:right="0"/>
              <w:jc w:val="left"/>
              <w:rPr>
                <w:rFonts w:hint="default" w:hAnsi="Times New Roman" w:cs="Times New Roman"/>
                <w:color w:val="000000"/>
                <w:szCs w:val="20"/>
              </w:rPr>
            </w:pPr>
            <w:r>
              <w:rPr>
                <w:rFonts w:hint="eastAsia" w:hAnsi="Times New Roman" w:cs="Times New Roman"/>
                <w:color w:val="000000"/>
                <w:szCs w:val="20"/>
              </w:rPr>
              <w:t>3</w:t>
            </w:r>
            <w:r>
              <w:rPr>
                <w:rFonts w:hint="default" w:hAnsi="Times New Roman" w:cs="Times New Roman"/>
                <w:color w:val="000000"/>
                <w:szCs w:val="20"/>
              </w:rPr>
              <w:t>.</w:t>
            </w:r>
            <w:r>
              <w:rPr>
                <w:rFonts w:hint="eastAsia" w:hAnsi="Times New Roman" w:cs="Times New Roman"/>
                <w:color w:val="000000"/>
                <w:szCs w:val="20"/>
              </w:rPr>
              <w:t>结构荷载初步复核</w:t>
            </w:r>
          </w:p>
          <w:p w14:paraId="700CCB07">
            <w:pPr>
              <w:pStyle w:val="71"/>
              <w:keepNext w:val="0"/>
              <w:keepLines w:val="0"/>
              <w:widowControl w:val="0"/>
              <w:suppressLineNumbers w:val="0"/>
              <w:adjustRightInd w:val="0"/>
              <w:snapToGrid w:val="0"/>
              <w:spacing w:before="0" w:beforeAutospacing="0" w:after="0" w:afterAutospacing="0"/>
              <w:ind w:left="0" w:right="0"/>
              <w:jc w:val="left"/>
              <w:rPr>
                <w:rFonts w:hint="eastAsia" w:hAnsi="Times New Roman" w:eastAsia="宋体" w:cs="Times New Roman"/>
                <w:color w:val="000000"/>
                <w:szCs w:val="20"/>
                <w:highlight w:val="none"/>
                <w:lang w:val="en-US" w:eastAsia="zh-CN"/>
              </w:rPr>
            </w:pPr>
            <w:r>
              <w:rPr>
                <w:rFonts w:hint="eastAsia" w:hAnsi="Times New Roman" w:eastAsia="宋体" w:cs="Times New Roman"/>
                <w:color w:val="000000"/>
                <w:szCs w:val="20"/>
                <w:highlight w:val="none"/>
                <w:lang w:val="en-US" w:eastAsia="zh-CN"/>
              </w:rPr>
              <w:t>4.全生命周期绿电、绿证及碳排放减量测算</w:t>
            </w:r>
          </w:p>
          <w:p w14:paraId="7A138E8A">
            <w:pPr>
              <w:pStyle w:val="71"/>
              <w:keepNext w:val="0"/>
              <w:keepLines w:val="0"/>
              <w:widowControl w:val="0"/>
              <w:suppressLineNumbers w:val="0"/>
              <w:adjustRightInd w:val="0"/>
              <w:snapToGrid w:val="0"/>
              <w:spacing w:before="0" w:beforeAutospacing="0" w:after="0" w:afterAutospacing="0"/>
              <w:ind w:left="0" w:right="0"/>
              <w:jc w:val="left"/>
              <w:rPr>
                <w:rFonts w:hint="eastAsia" w:hAnsi="Times New Roman" w:cs="Times New Roman"/>
                <w:color w:val="auto"/>
                <w:szCs w:val="20"/>
                <w:highlight w:val="none"/>
                <w:lang w:val="en-US" w:eastAsia="zh-CN"/>
              </w:rPr>
            </w:pPr>
            <w:r>
              <w:rPr>
                <w:rFonts w:hint="eastAsia" w:hAnsi="Times New Roman" w:cs="Times New Roman"/>
                <w:color w:val="auto"/>
                <w:szCs w:val="20"/>
                <w:highlight w:val="none"/>
                <w:lang w:val="en-US" w:eastAsia="zh-CN"/>
              </w:rPr>
              <w:t>5.投资风险全面评估</w:t>
            </w:r>
          </w:p>
          <w:p w14:paraId="6A4209E2">
            <w:pPr>
              <w:pStyle w:val="71"/>
              <w:keepNext w:val="0"/>
              <w:keepLines w:val="0"/>
              <w:widowControl w:val="0"/>
              <w:suppressLineNumbers w:val="0"/>
              <w:adjustRightInd w:val="0"/>
              <w:snapToGrid w:val="0"/>
              <w:spacing w:before="0" w:beforeAutospacing="0" w:after="0" w:afterAutospacing="0"/>
              <w:ind w:left="0" w:right="0"/>
              <w:jc w:val="left"/>
              <w:rPr>
                <w:rFonts w:hint="default" w:hAnsi="Times New Roman" w:cs="Times New Roman"/>
                <w:color w:val="000000"/>
                <w:szCs w:val="20"/>
              </w:rPr>
            </w:pPr>
            <w:r>
              <w:rPr>
                <w:rFonts w:hint="eastAsia" w:hAnsi="Times New Roman" w:cs="Times New Roman"/>
                <w:color w:val="000000"/>
                <w:szCs w:val="20"/>
                <w:lang w:val="en-US" w:eastAsia="zh-CN"/>
              </w:rPr>
              <w:t>6.融资方案与投资建议</w:t>
            </w:r>
          </w:p>
        </w:tc>
        <w:tc>
          <w:tcPr>
            <w:tcW w:w="1286" w:type="pct"/>
            <w:noWrap w:val="0"/>
            <w:vAlign w:val="center"/>
          </w:tcPr>
          <w:p w14:paraId="187FA173">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w:t>
            </w:r>
          </w:p>
        </w:tc>
        <w:tc>
          <w:tcPr>
            <w:tcW w:w="1347" w:type="pct"/>
            <w:noWrap w:val="0"/>
            <w:vAlign w:val="center"/>
          </w:tcPr>
          <w:p w14:paraId="7BE42387">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w:t>
            </w:r>
          </w:p>
        </w:tc>
      </w:tr>
      <w:tr w14:paraId="41318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592DBA01">
            <w:pPr>
              <w:pStyle w:val="71"/>
              <w:keepNext w:val="0"/>
              <w:keepLines w:val="0"/>
              <w:widowControl w:val="0"/>
              <w:suppressLineNumbers w:val="0"/>
              <w:spacing w:before="0" w:beforeAutospacing="0" w:after="0" w:afterAutospacing="0"/>
              <w:ind w:left="0" w:right="0"/>
              <w:rPr>
                <w:rFonts w:hint="default" w:hAnsi="Times New Roman" w:eastAsia="宋体" w:cs="Times New Roman"/>
                <w:color w:val="000000"/>
                <w:szCs w:val="20"/>
                <w:lang w:val="en-US" w:eastAsia="zh-CN"/>
              </w:rPr>
            </w:pPr>
            <w:r>
              <w:rPr>
                <w:rFonts w:hint="eastAsia" w:hAnsi="Times New Roman" w:cs="Times New Roman"/>
                <w:color w:val="000000"/>
                <w:szCs w:val="20"/>
                <w:lang w:val="en-US" w:eastAsia="zh-CN"/>
              </w:rPr>
              <w:t>勘察设计咨询</w:t>
            </w:r>
          </w:p>
        </w:tc>
        <w:tc>
          <w:tcPr>
            <w:tcW w:w="1291" w:type="pct"/>
            <w:noWrap w:val="0"/>
            <w:vAlign w:val="center"/>
          </w:tcPr>
          <w:p w14:paraId="0BC1389C">
            <w:pPr>
              <w:pStyle w:val="72"/>
              <w:keepNext w:val="0"/>
              <w:keepLines w:val="0"/>
              <w:suppressLineNumbers w:val="0"/>
              <w:snapToGrid w:val="0"/>
              <w:spacing w:before="0" w:beforeAutospacing="0" w:after="0" w:afterAutospacing="0"/>
              <w:ind w:left="0" w:right="0"/>
              <w:jc w:val="center"/>
              <w:rPr>
                <w:rFonts w:hint="eastAsia"/>
                <w:color w:val="000000"/>
                <w:lang w:eastAsia="zh-CN"/>
              </w:rPr>
            </w:pPr>
            <w:r>
              <w:rPr>
                <w:rFonts w:hint="eastAsia"/>
                <w:color w:val="000000"/>
              </w:rPr>
              <w:t>-</w:t>
            </w:r>
          </w:p>
        </w:tc>
        <w:tc>
          <w:tcPr>
            <w:tcW w:w="1286" w:type="pct"/>
            <w:noWrap w:val="0"/>
            <w:vAlign w:val="center"/>
          </w:tcPr>
          <w:p w14:paraId="02C8A039">
            <w:pPr>
              <w:pStyle w:val="72"/>
              <w:keepNext w:val="0"/>
              <w:keepLines w:val="0"/>
              <w:numPr>
                <w:ilvl w:val="0"/>
                <w:numId w:val="88"/>
              </w:numPr>
              <w:suppressLineNumbers w:val="0"/>
              <w:snapToGrid w:val="0"/>
              <w:spacing w:before="0" w:beforeAutospacing="0" w:after="0" w:afterAutospacing="0"/>
              <w:ind w:left="0" w:right="0"/>
              <w:jc w:val="left"/>
              <w:rPr>
                <w:rFonts w:hint="eastAsia"/>
                <w:color w:val="000000"/>
                <w:highlight w:val="none"/>
              </w:rPr>
            </w:pPr>
            <w:r>
              <w:rPr>
                <w:rFonts w:hint="eastAsia"/>
                <w:color w:val="000000"/>
                <w:lang w:val="en-US" w:eastAsia="zh-CN"/>
              </w:rPr>
              <w:t>审查勘察</w:t>
            </w:r>
            <w:r>
              <w:rPr>
                <w:rFonts w:hint="eastAsia"/>
                <w:color w:val="000000"/>
                <w:highlight w:val="none"/>
              </w:rPr>
              <w:t>成果文件</w:t>
            </w:r>
          </w:p>
          <w:p w14:paraId="67588468">
            <w:pPr>
              <w:pStyle w:val="72"/>
              <w:keepNext w:val="0"/>
              <w:keepLines w:val="0"/>
              <w:numPr>
                <w:ilvl w:val="0"/>
                <w:numId w:val="88"/>
              </w:numPr>
              <w:suppressLineNumbers w:val="0"/>
              <w:snapToGrid w:val="0"/>
              <w:spacing w:before="0" w:beforeAutospacing="0" w:after="0" w:afterAutospacing="0"/>
              <w:ind w:left="0" w:right="0"/>
              <w:jc w:val="left"/>
              <w:rPr>
                <w:rFonts w:hint="default"/>
                <w:color w:val="000000"/>
                <w:highlight w:val="none"/>
                <w:lang w:val="en-US" w:eastAsia="zh-CN"/>
              </w:rPr>
            </w:pPr>
            <w:r>
              <w:rPr>
                <w:rFonts w:hint="eastAsia"/>
                <w:color w:val="000000"/>
                <w:highlight w:val="none"/>
                <w:lang w:val="en-US" w:eastAsia="zh-CN"/>
              </w:rPr>
              <w:t>审查</w:t>
            </w:r>
            <w:r>
              <w:rPr>
                <w:rFonts w:hint="eastAsia"/>
                <w:color w:val="000000"/>
                <w:highlight w:val="none"/>
              </w:rPr>
              <w:t>初步设计文件</w:t>
            </w:r>
          </w:p>
          <w:p w14:paraId="2F787A6C">
            <w:pPr>
              <w:pStyle w:val="72"/>
              <w:keepNext w:val="0"/>
              <w:keepLines w:val="0"/>
              <w:numPr>
                <w:ilvl w:val="0"/>
                <w:numId w:val="88"/>
              </w:numPr>
              <w:suppressLineNumbers w:val="0"/>
              <w:snapToGrid w:val="0"/>
              <w:spacing w:before="0" w:beforeAutospacing="0" w:after="0" w:afterAutospacing="0"/>
              <w:ind w:left="0" w:right="0"/>
              <w:jc w:val="left"/>
              <w:rPr>
                <w:rFonts w:hint="default"/>
                <w:color w:val="000000"/>
                <w:highlight w:val="none"/>
                <w:lang w:val="en-US" w:eastAsia="zh-CN"/>
              </w:rPr>
            </w:pPr>
            <w:r>
              <w:rPr>
                <w:rFonts w:hint="eastAsia"/>
                <w:color w:val="000000"/>
                <w:highlight w:val="none"/>
              </w:rPr>
              <w:t>审查重要设备招标文件</w:t>
            </w:r>
          </w:p>
          <w:p w14:paraId="6B46A8FE">
            <w:pPr>
              <w:pStyle w:val="72"/>
              <w:keepNext w:val="0"/>
              <w:keepLines w:val="0"/>
              <w:numPr>
                <w:ilvl w:val="0"/>
                <w:numId w:val="88"/>
              </w:numPr>
              <w:suppressLineNumbers w:val="0"/>
              <w:snapToGrid w:val="0"/>
              <w:spacing w:before="0" w:beforeAutospacing="0" w:after="0" w:afterAutospacing="0"/>
              <w:ind w:left="0" w:right="0"/>
              <w:jc w:val="left"/>
              <w:rPr>
                <w:rFonts w:hint="default"/>
                <w:color w:val="000000"/>
                <w:highlight w:val="none"/>
                <w:lang w:val="en-US" w:eastAsia="zh-CN"/>
              </w:rPr>
            </w:pPr>
            <w:r>
              <w:rPr>
                <w:rFonts w:hint="eastAsia"/>
                <w:color w:val="000000"/>
                <w:highlight w:val="none"/>
                <w:lang w:val="en-US" w:eastAsia="zh-CN"/>
              </w:rPr>
              <w:t>审查</w:t>
            </w:r>
            <w:r>
              <w:rPr>
                <w:rFonts w:hint="eastAsia"/>
                <w:color w:val="000000"/>
                <w:highlight w:val="none"/>
              </w:rPr>
              <w:t>施工图设计文件</w:t>
            </w:r>
          </w:p>
          <w:p w14:paraId="4E56469E">
            <w:pPr>
              <w:pStyle w:val="72"/>
              <w:keepNext w:val="0"/>
              <w:keepLines w:val="0"/>
              <w:numPr>
                <w:ilvl w:val="0"/>
                <w:numId w:val="88"/>
              </w:numPr>
              <w:suppressLineNumbers w:val="0"/>
              <w:snapToGrid w:val="0"/>
              <w:spacing w:before="0" w:beforeAutospacing="0" w:after="0" w:afterAutospacing="0"/>
              <w:ind w:left="0" w:right="0"/>
              <w:jc w:val="left"/>
              <w:rPr>
                <w:rFonts w:hint="default"/>
                <w:color w:val="000000"/>
                <w:highlight w:val="none"/>
                <w:lang w:val="en-US" w:eastAsia="zh-CN"/>
              </w:rPr>
            </w:pPr>
            <w:r>
              <w:rPr>
                <w:rFonts w:hint="eastAsia"/>
                <w:color w:val="000000"/>
                <w:highlight w:val="none"/>
              </w:rPr>
              <w:t>组织施工图设计交底</w:t>
            </w:r>
          </w:p>
        </w:tc>
        <w:tc>
          <w:tcPr>
            <w:tcW w:w="1347" w:type="pct"/>
            <w:noWrap w:val="0"/>
            <w:vAlign w:val="center"/>
          </w:tcPr>
          <w:p w14:paraId="6EA691A1">
            <w:pPr>
              <w:pStyle w:val="72"/>
              <w:keepNext w:val="0"/>
              <w:keepLines w:val="0"/>
              <w:numPr>
                <w:ilvl w:val="0"/>
                <w:numId w:val="89"/>
              </w:numPr>
              <w:suppressLineNumbers w:val="0"/>
              <w:snapToGrid w:val="0"/>
              <w:spacing w:before="0" w:beforeAutospacing="0" w:after="0" w:afterAutospacing="0"/>
              <w:ind w:left="0" w:right="0"/>
              <w:jc w:val="left"/>
              <w:rPr>
                <w:rFonts w:hint="eastAsia"/>
                <w:color w:val="000000"/>
              </w:rPr>
            </w:pPr>
            <w:r>
              <w:rPr>
                <w:rFonts w:hint="eastAsia"/>
                <w:color w:val="000000"/>
              </w:rPr>
              <w:t>审查竣工图</w:t>
            </w:r>
          </w:p>
          <w:p w14:paraId="5929F84B">
            <w:pPr>
              <w:pStyle w:val="72"/>
              <w:keepNext w:val="0"/>
              <w:keepLines w:val="0"/>
              <w:numPr>
                <w:ilvl w:val="0"/>
                <w:numId w:val="89"/>
              </w:numPr>
              <w:suppressLineNumbers w:val="0"/>
              <w:snapToGrid w:val="0"/>
              <w:spacing w:before="0" w:beforeAutospacing="0" w:after="0" w:afterAutospacing="0"/>
              <w:ind w:left="0" w:right="0"/>
              <w:jc w:val="left"/>
              <w:rPr>
                <w:rFonts w:hint="default"/>
                <w:color w:val="000000"/>
                <w:lang w:val="en-US" w:eastAsia="zh-CN"/>
              </w:rPr>
            </w:pPr>
            <w:r>
              <w:rPr>
                <w:rFonts w:hint="eastAsia"/>
                <w:color w:val="000000"/>
              </w:rPr>
              <w:t>竣工图电子化交付</w:t>
            </w:r>
          </w:p>
        </w:tc>
      </w:tr>
      <w:tr w14:paraId="5F1339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026F1CB8">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勘察设计</w:t>
            </w:r>
          </w:p>
        </w:tc>
        <w:tc>
          <w:tcPr>
            <w:tcW w:w="1291" w:type="pct"/>
            <w:noWrap w:val="0"/>
            <w:vAlign w:val="center"/>
          </w:tcPr>
          <w:p w14:paraId="597931C6">
            <w:pPr>
              <w:pStyle w:val="72"/>
              <w:keepNext w:val="0"/>
              <w:keepLines w:val="0"/>
              <w:suppressLineNumbers w:val="0"/>
              <w:snapToGrid w:val="0"/>
              <w:spacing w:before="0" w:beforeAutospacing="0" w:after="0" w:afterAutospacing="0"/>
              <w:ind w:left="0" w:right="0" w:firstLine="1260" w:firstLineChars="700"/>
              <w:jc w:val="left"/>
              <w:rPr>
                <w:rFonts w:hint="default"/>
                <w:color w:val="000000"/>
                <w:lang w:eastAsia="zh-CN"/>
              </w:rPr>
            </w:pPr>
            <w:r>
              <w:rPr>
                <w:rFonts w:hint="eastAsia"/>
                <w:color w:val="000000"/>
                <w:lang w:val="en-US" w:eastAsia="zh-CN"/>
              </w:rPr>
              <w:t>-</w:t>
            </w:r>
          </w:p>
        </w:tc>
        <w:tc>
          <w:tcPr>
            <w:tcW w:w="1286" w:type="pct"/>
            <w:noWrap w:val="0"/>
            <w:vAlign w:val="center"/>
          </w:tcPr>
          <w:p w14:paraId="648F53ED">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1</w:t>
            </w:r>
            <w:r>
              <w:rPr>
                <w:rFonts w:hint="default"/>
                <w:color w:val="000000"/>
                <w:lang w:eastAsia="zh-CN"/>
              </w:rPr>
              <w:t>.</w:t>
            </w:r>
            <w:r>
              <w:rPr>
                <w:rFonts w:hint="eastAsia"/>
                <w:color w:val="000000"/>
                <w:lang w:eastAsia="zh-CN"/>
              </w:rPr>
              <w:t>勘察工作</w:t>
            </w:r>
          </w:p>
          <w:p w14:paraId="7F865587">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2</w:t>
            </w:r>
            <w:r>
              <w:rPr>
                <w:rFonts w:hint="default"/>
                <w:color w:val="000000"/>
                <w:lang w:eastAsia="zh-CN"/>
              </w:rPr>
              <w:t>.</w:t>
            </w:r>
            <w:r>
              <w:rPr>
                <w:rFonts w:hint="eastAsia"/>
                <w:color w:val="000000"/>
              </w:rPr>
              <w:t>勘察成果文件编制</w:t>
            </w:r>
          </w:p>
          <w:p w14:paraId="46D720E0">
            <w:pPr>
              <w:pStyle w:val="72"/>
              <w:keepNext w:val="0"/>
              <w:keepLines w:val="0"/>
              <w:suppressLineNumbers w:val="0"/>
              <w:snapToGrid w:val="0"/>
              <w:spacing w:before="0" w:beforeAutospacing="0" w:after="0" w:afterAutospacing="0"/>
              <w:ind w:left="0" w:right="0"/>
              <w:jc w:val="left"/>
              <w:rPr>
                <w:rFonts w:hint="default"/>
                <w:color w:val="000000"/>
                <w:lang w:val="en-US" w:eastAsia="zh-CN"/>
              </w:rPr>
            </w:pPr>
            <w:r>
              <w:rPr>
                <w:rFonts w:hint="eastAsia"/>
                <w:color w:val="000000"/>
                <w:lang w:val="en-US" w:eastAsia="zh-CN"/>
              </w:rPr>
              <w:t>3.</w:t>
            </w:r>
            <w:r>
              <w:rPr>
                <w:rFonts w:hint="eastAsia"/>
                <w:color w:val="000000"/>
                <w:lang w:eastAsia="zh-CN"/>
              </w:rPr>
              <w:t>初步设计</w:t>
            </w:r>
            <w:r>
              <w:rPr>
                <w:rFonts w:hint="eastAsia"/>
                <w:color w:val="000000"/>
                <w:lang w:val="en-US" w:eastAsia="zh-CN"/>
              </w:rPr>
              <w:t>文件编制</w:t>
            </w:r>
          </w:p>
          <w:p w14:paraId="5B5E84B8">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val="en-US" w:eastAsia="zh-CN"/>
              </w:rPr>
              <w:t>4</w:t>
            </w:r>
            <w:r>
              <w:rPr>
                <w:rFonts w:hint="default"/>
                <w:color w:val="000000"/>
                <w:lang w:eastAsia="zh-CN"/>
              </w:rPr>
              <w:t>.</w:t>
            </w:r>
            <w:r>
              <w:rPr>
                <w:rFonts w:hint="eastAsia"/>
                <w:color w:val="000000"/>
                <w:lang w:eastAsia="zh-CN"/>
              </w:rPr>
              <w:t>施工图设计文件编制</w:t>
            </w:r>
          </w:p>
        </w:tc>
        <w:tc>
          <w:tcPr>
            <w:tcW w:w="1347" w:type="pct"/>
            <w:noWrap w:val="0"/>
            <w:vAlign w:val="center"/>
          </w:tcPr>
          <w:p w14:paraId="0FA33116">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1</w:t>
            </w:r>
            <w:r>
              <w:rPr>
                <w:rFonts w:hint="default"/>
                <w:color w:val="000000"/>
                <w:lang w:eastAsia="zh-CN"/>
              </w:rPr>
              <w:t>.</w:t>
            </w:r>
            <w:r>
              <w:rPr>
                <w:rFonts w:hint="eastAsia"/>
                <w:color w:val="000000"/>
                <w:lang w:eastAsia="zh-CN"/>
              </w:rPr>
              <w:t>现场服务</w:t>
            </w:r>
          </w:p>
          <w:p w14:paraId="5DED120D">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2</w:t>
            </w:r>
            <w:r>
              <w:rPr>
                <w:rFonts w:hint="default"/>
                <w:color w:val="000000"/>
                <w:lang w:eastAsia="zh-CN"/>
              </w:rPr>
              <w:t>.</w:t>
            </w:r>
            <w:r>
              <w:rPr>
                <w:rFonts w:hint="eastAsia"/>
                <w:color w:val="000000"/>
                <w:lang w:eastAsia="zh-CN"/>
              </w:rPr>
              <w:t>设计交底</w:t>
            </w:r>
          </w:p>
          <w:p w14:paraId="0D3CAC6E">
            <w:pPr>
              <w:pStyle w:val="72"/>
              <w:keepNext w:val="0"/>
              <w:keepLines w:val="0"/>
              <w:suppressLineNumbers w:val="0"/>
              <w:snapToGrid w:val="0"/>
              <w:spacing w:before="0" w:beforeAutospacing="0" w:after="0" w:afterAutospacing="0"/>
              <w:ind w:left="0" w:right="0"/>
              <w:jc w:val="left"/>
              <w:rPr>
                <w:rFonts w:hint="eastAsia"/>
                <w:color w:val="000000"/>
                <w:lang w:eastAsia="zh-CN"/>
              </w:rPr>
            </w:pPr>
            <w:r>
              <w:rPr>
                <w:rFonts w:hint="eastAsia"/>
                <w:color w:val="000000"/>
                <w:lang w:eastAsia="zh-CN"/>
              </w:rPr>
              <w:t>3</w:t>
            </w:r>
            <w:r>
              <w:rPr>
                <w:rFonts w:hint="default"/>
                <w:color w:val="000000"/>
                <w:lang w:eastAsia="zh-CN"/>
              </w:rPr>
              <w:t>.</w:t>
            </w:r>
            <w:r>
              <w:rPr>
                <w:rFonts w:hint="eastAsia"/>
                <w:color w:val="000000"/>
                <w:lang w:eastAsia="zh-CN"/>
              </w:rPr>
              <w:t>施工图会检</w:t>
            </w:r>
          </w:p>
          <w:p w14:paraId="5D9FDA58">
            <w:pPr>
              <w:pStyle w:val="72"/>
              <w:keepNext w:val="0"/>
              <w:keepLines w:val="0"/>
              <w:suppressLineNumbers w:val="0"/>
              <w:snapToGrid w:val="0"/>
              <w:spacing w:before="0" w:beforeAutospacing="0" w:after="0" w:afterAutospacing="0"/>
              <w:ind w:left="0" w:right="0"/>
              <w:jc w:val="left"/>
              <w:rPr>
                <w:rFonts w:hint="eastAsia"/>
                <w:color w:val="000000"/>
              </w:rPr>
            </w:pPr>
            <w:r>
              <w:rPr>
                <w:rFonts w:hint="eastAsia"/>
                <w:color w:val="000000"/>
                <w:lang w:val="en-US" w:eastAsia="zh-CN"/>
              </w:rPr>
              <w:t>4.</w:t>
            </w:r>
            <w:r>
              <w:rPr>
                <w:rFonts w:hint="eastAsia"/>
                <w:color w:val="000000"/>
              </w:rPr>
              <w:t>工程量审查和现场签证审查</w:t>
            </w:r>
          </w:p>
          <w:p w14:paraId="3DFECBC2">
            <w:pPr>
              <w:pStyle w:val="72"/>
              <w:keepNext w:val="0"/>
              <w:keepLines w:val="0"/>
              <w:suppressLineNumbers w:val="0"/>
              <w:snapToGrid w:val="0"/>
              <w:spacing w:before="0" w:beforeAutospacing="0" w:after="0" w:afterAutospacing="0"/>
              <w:ind w:left="0" w:right="0"/>
              <w:jc w:val="left"/>
              <w:rPr>
                <w:rFonts w:hint="eastAsia"/>
                <w:color w:val="000000"/>
              </w:rPr>
            </w:pPr>
            <w:r>
              <w:rPr>
                <w:rFonts w:hint="eastAsia"/>
                <w:color w:val="000000"/>
                <w:lang w:val="en-US" w:eastAsia="zh-CN"/>
              </w:rPr>
              <w:t>5.</w:t>
            </w:r>
            <w:r>
              <w:rPr>
                <w:rFonts w:hint="eastAsia"/>
                <w:color w:val="000000"/>
              </w:rPr>
              <w:t>编制竣工图</w:t>
            </w:r>
          </w:p>
          <w:p w14:paraId="1CFFC594">
            <w:pPr>
              <w:pStyle w:val="72"/>
              <w:keepNext w:val="0"/>
              <w:keepLines w:val="0"/>
              <w:suppressLineNumbers w:val="0"/>
              <w:snapToGrid w:val="0"/>
              <w:spacing w:before="0" w:beforeAutospacing="0" w:after="0" w:afterAutospacing="0"/>
              <w:ind w:left="0" w:right="0"/>
              <w:jc w:val="left"/>
              <w:rPr>
                <w:rFonts w:hint="default"/>
                <w:color w:val="000000"/>
                <w:lang w:val="en-US" w:eastAsia="zh-CN"/>
              </w:rPr>
            </w:pPr>
            <w:r>
              <w:rPr>
                <w:rFonts w:hint="eastAsia"/>
                <w:color w:val="000000"/>
                <w:lang w:val="en-US" w:eastAsia="zh-CN"/>
              </w:rPr>
              <w:t>6.</w:t>
            </w:r>
            <w:r>
              <w:rPr>
                <w:rFonts w:hint="eastAsia"/>
                <w:color w:val="000000"/>
              </w:rPr>
              <w:t>编制竣工结算文件</w:t>
            </w:r>
          </w:p>
        </w:tc>
      </w:tr>
      <w:tr w14:paraId="40BE26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4E344B0D">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招标采购咨询</w:t>
            </w:r>
          </w:p>
        </w:tc>
        <w:tc>
          <w:tcPr>
            <w:tcW w:w="1291" w:type="pct"/>
            <w:noWrap w:val="0"/>
            <w:vAlign w:val="center"/>
          </w:tcPr>
          <w:p w14:paraId="24A32DC6">
            <w:pPr>
              <w:pStyle w:val="71"/>
              <w:keepNext w:val="0"/>
              <w:keepLines w:val="0"/>
              <w:widowControl w:val="0"/>
              <w:suppressLineNumbers w:val="0"/>
              <w:snapToGrid w:val="0"/>
              <w:spacing w:before="0" w:beforeAutospacing="0" w:after="0" w:afterAutospacing="0"/>
              <w:ind w:left="0" w:right="0"/>
              <w:jc w:val="left"/>
              <w:rPr>
                <w:rFonts w:hint="default" w:hAnsi="宋体" w:cs="宋体"/>
                <w:color w:val="000000"/>
                <w:szCs w:val="20"/>
              </w:rPr>
            </w:pPr>
            <w:r>
              <w:rPr>
                <w:rFonts w:hint="eastAsia" w:hAnsi="宋体" w:cs="宋体"/>
                <w:color w:val="000000"/>
                <w:kern w:val="2"/>
                <w:szCs w:val="18"/>
              </w:rPr>
              <w:t>1.</w:t>
            </w:r>
            <w:r>
              <w:rPr>
                <w:rFonts w:hint="eastAsia" w:hAnsi="宋体" w:cs="宋体"/>
                <w:color w:val="000000"/>
                <w:szCs w:val="20"/>
              </w:rPr>
              <w:t>制定</w:t>
            </w:r>
            <w:r>
              <w:rPr>
                <w:rFonts w:hint="eastAsia" w:hAnsi="Times New Roman" w:cs="Times New Roman"/>
                <w:color w:val="000000"/>
                <w:szCs w:val="20"/>
              </w:rPr>
              <w:t>招标采购总体策划方案</w:t>
            </w:r>
          </w:p>
          <w:p w14:paraId="3CB450D0">
            <w:pPr>
              <w:pStyle w:val="71"/>
              <w:keepNext w:val="0"/>
              <w:keepLines w:val="0"/>
              <w:widowControl w:val="0"/>
              <w:suppressLineNumbers w:val="0"/>
              <w:snapToGrid w:val="0"/>
              <w:spacing w:before="0" w:beforeAutospacing="0" w:after="0" w:afterAutospacing="0"/>
              <w:ind w:left="0" w:right="0"/>
              <w:jc w:val="left"/>
              <w:rPr>
                <w:rFonts w:hint="default" w:hAnsi="宋体" w:cs="宋体"/>
                <w:color w:val="000000"/>
                <w:kern w:val="2"/>
                <w:szCs w:val="18"/>
              </w:rPr>
            </w:pPr>
            <w:r>
              <w:rPr>
                <w:rFonts w:hint="default" w:hAnsi="宋体" w:cs="宋体"/>
                <w:color w:val="000000"/>
                <w:kern w:val="2"/>
                <w:szCs w:val="18"/>
              </w:rPr>
              <w:t>2.</w:t>
            </w:r>
            <w:r>
              <w:rPr>
                <w:rFonts w:hint="eastAsia" w:hAnsi="Times New Roman" w:cs="Times New Roman"/>
                <w:color w:val="000000"/>
                <w:szCs w:val="20"/>
              </w:rPr>
              <w:t>编制资格预审文件</w:t>
            </w:r>
          </w:p>
        </w:tc>
        <w:tc>
          <w:tcPr>
            <w:tcW w:w="1286" w:type="pct"/>
            <w:noWrap w:val="0"/>
            <w:vAlign w:val="center"/>
          </w:tcPr>
          <w:p w14:paraId="3F7A5504">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1</w:t>
            </w:r>
            <w:r>
              <w:rPr>
                <w:rFonts w:hint="default"/>
                <w:color w:val="000000"/>
                <w:lang w:eastAsia="zh-CN"/>
              </w:rPr>
              <w:t>.</w:t>
            </w:r>
            <w:r>
              <w:rPr>
                <w:rFonts w:hint="eastAsia"/>
                <w:color w:val="000000"/>
              </w:rPr>
              <w:t>审查招标文件</w:t>
            </w:r>
          </w:p>
          <w:p w14:paraId="713FCE7A">
            <w:pPr>
              <w:pStyle w:val="71"/>
              <w:keepNext w:val="0"/>
              <w:keepLines w:val="0"/>
              <w:widowControl w:val="0"/>
              <w:suppressLineNumbers w:val="0"/>
              <w:snapToGrid w:val="0"/>
              <w:spacing w:before="0" w:beforeAutospacing="0" w:after="0" w:afterAutospacing="0"/>
              <w:ind w:left="0" w:right="0"/>
              <w:jc w:val="left"/>
              <w:rPr>
                <w:rFonts w:hint="eastAsia" w:hAnsi="Times New Roman" w:cs="Times New Roman"/>
                <w:color w:val="000000"/>
                <w:szCs w:val="20"/>
              </w:rPr>
            </w:pPr>
            <w:r>
              <w:rPr>
                <w:rFonts w:hint="eastAsia" w:hAnsi="Times New Roman" w:cs="Times New Roman"/>
                <w:color w:val="000000"/>
                <w:szCs w:val="20"/>
              </w:rPr>
              <w:t>2.</w:t>
            </w:r>
            <w:r>
              <w:rPr>
                <w:rFonts w:hint="eastAsia" w:hAnsi="Times New Roman" w:cs="Times New Roman"/>
                <w:color w:val="000000"/>
                <w:szCs w:val="20"/>
                <w:lang w:val="en-US" w:eastAsia="zh-CN"/>
              </w:rPr>
              <w:t>协助</w:t>
            </w:r>
            <w:r>
              <w:rPr>
                <w:rFonts w:hint="eastAsia" w:hAnsi="Times New Roman" w:cs="Times New Roman"/>
                <w:color w:val="000000"/>
                <w:szCs w:val="20"/>
              </w:rPr>
              <w:t>发布招标公告</w:t>
            </w:r>
          </w:p>
          <w:p w14:paraId="1390C71A">
            <w:pPr>
              <w:pStyle w:val="71"/>
              <w:keepNext w:val="0"/>
              <w:keepLines w:val="0"/>
              <w:widowControl w:val="0"/>
              <w:suppressLineNumbers w:val="0"/>
              <w:snapToGrid w:val="0"/>
              <w:spacing w:before="0" w:beforeAutospacing="0" w:after="0" w:afterAutospacing="0"/>
              <w:ind w:left="0" w:right="0"/>
              <w:jc w:val="left"/>
              <w:rPr>
                <w:rFonts w:hint="eastAsia" w:hAnsi="Times New Roman" w:cs="Times New Roman"/>
                <w:color w:val="000000"/>
                <w:szCs w:val="20"/>
              </w:rPr>
            </w:pPr>
            <w:r>
              <w:rPr>
                <w:rFonts w:hint="eastAsia" w:hAnsi="Times New Roman" w:cs="Times New Roman"/>
                <w:color w:val="000000"/>
                <w:szCs w:val="20"/>
                <w:lang w:val="en-US" w:eastAsia="zh-CN"/>
              </w:rPr>
              <w:t>3.协助</w:t>
            </w:r>
            <w:r>
              <w:rPr>
                <w:rFonts w:hint="eastAsia" w:hAnsi="Times New Roman" w:cs="Times New Roman"/>
                <w:color w:val="000000"/>
                <w:szCs w:val="20"/>
              </w:rPr>
              <w:t>组织招标文件答疑会</w:t>
            </w:r>
          </w:p>
          <w:p w14:paraId="16BE07A6">
            <w:pPr>
              <w:pStyle w:val="71"/>
              <w:keepNext w:val="0"/>
              <w:keepLines w:val="0"/>
              <w:widowControl w:val="0"/>
              <w:suppressLineNumbers w:val="0"/>
              <w:snapToGrid w:val="0"/>
              <w:spacing w:before="0" w:beforeAutospacing="0" w:after="0" w:afterAutospacing="0"/>
              <w:ind w:left="0" w:right="0"/>
              <w:jc w:val="left"/>
              <w:rPr>
                <w:rFonts w:hint="default" w:hAnsi="宋体" w:cs="宋体"/>
                <w:color w:val="000000"/>
                <w:kern w:val="2"/>
                <w:szCs w:val="18"/>
              </w:rPr>
            </w:pPr>
            <w:r>
              <w:rPr>
                <w:rFonts w:hint="eastAsia" w:hAnsi="Times New Roman" w:cs="Times New Roman"/>
                <w:color w:val="000000"/>
                <w:szCs w:val="20"/>
                <w:lang w:val="en-US" w:eastAsia="zh-CN"/>
              </w:rPr>
              <w:t>4.协助</w:t>
            </w:r>
            <w:r>
              <w:rPr>
                <w:rFonts w:hint="eastAsia" w:hAnsi="Times New Roman" w:cs="Times New Roman"/>
                <w:color w:val="000000"/>
                <w:szCs w:val="20"/>
              </w:rPr>
              <w:t>组织开标、评标工作</w:t>
            </w:r>
          </w:p>
        </w:tc>
        <w:tc>
          <w:tcPr>
            <w:tcW w:w="1347" w:type="pct"/>
            <w:noWrap w:val="0"/>
            <w:vAlign w:val="center"/>
          </w:tcPr>
          <w:p w14:paraId="51F1EBD0">
            <w:pPr>
              <w:pStyle w:val="71"/>
              <w:keepNext w:val="0"/>
              <w:keepLines w:val="0"/>
              <w:widowControl w:val="0"/>
              <w:suppressLineNumbers w:val="0"/>
              <w:snapToGrid w:val="0"/>
              <w:spacing w:before="0" w:beforeAutospacing="0" w:after="0" w:afterAutospacing="0"/>
              <w:ind w:left="0" w:right="0"/>
              <w:jc w:val="left"/>
              <w:rPr>
                <w:rFonts w:hint="eastAsia" w:hAnsi="Times New Roman" w:cs="Times New Roman"/>
                <w:color w:val="000000"/>
                <w:szCs w:val="20"/>
              </w:rPr>
            </w:pPr>
            <w:r>
              <w:rPr>
                <w:rFonts w:hint="eastAsia"/>
                <w:color w:val="000000"/>
                <w:lang w:eastAsia="zh-CN"/>
              </w:rPr>
              <w:t>1</w:t>
            </w:r>
            <w:r>
              <w:rPr>
                <w:rFonts w:hint="default"/>
                <w:color w:val="000000"/>
                <w:lang w:eastAsia="zh-CN"/>
              </w:rPr>
              <w:t>.</w:t>
            </w:r>
            <w:r>
              <w:rPr>
                <w:rFonts w:hint="eastAsia" w:hAnsi="Times New Roman" w:cs="Times New Roman"/>
                <w:color w:val="000000"/>
                <w:szCs w:val="20"/>
              </w:rPr>
              <w:t>协助招标采购项目合同签订</w:t>
            </w:r>
          </w:p>
          <w:p w14:paraId="2692E49B">
            <w:pPr>
              <w:pStyle w:val="71"/>
              <w:keepNext w:val="0"/>
              <w:keepLines w:val="0"/>
              <w:widowControl w:val="0"/>
              <w:suppressLineNumbers w:val="0"/>
              <w:snapToGrid w:val="0"/>
              <w:spacing w:before="0" w:beforeAutospacing="0" w:after="0" w:afterAutospacing="0"/>
              <w:ind w:left="0" w:right="0"/>
              <w:jc w:val="left"/>
              <w:rPr>
                <w:rFonts w:hint="default" w:hAnsi="Times New Roman" w:cs="Times New Roman"/>
                <w:color w:val="000000"/>
                <w:szCs w:val="20"/>
                <w:lang w:val="en-US" w:eastAsia="zh-CN"/>
              </w:rPr>
            </w:pPr>
            <w:r>
              <w:rPr>
                <w:rFonts w:hint="eastAsia" w:hAnsi="Times New Roman" w:cs="Times New Roman"/>
                <w:color w:val="000000"/>
                <w:szCs w:val="20"/>
                <w:lang w:val="en-US" w:eastAsia="zh-CN"/>
              </w:rPr>
              <w:t>2.</w:t>
            </w:r>
            <w:r>
              <w:rPr>
                <w:rFonts w:hint="eastAsia" w:hAnsi="Times New Roman" w:cs="Times New Roman"/>
                <w:color w:val="000000"/>
                <w:szCs w:val="20"/>
              </w:rPr>
              <w:t>整理资料并归档备案</w:t>
            </w:r>
          </w:p>
        </w:tc>
      </w:tr>
      <w:tr w14:paraId="470F5A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55851AC1">
            <w:pPr>
              <w:pStyle w:val="71"/>
              <w:keepNext w:val="0"/>
              <w:keepLines w:val="0"/>
              <w:widowControl w:val="0"/>
              <w:suppressLineNumbers w:val="0"/>
              <w:spacing w:before="0" w:beforeAutospacing="0" w:after="0" w:afterAutospacing="0"/>
              <w:ind w:left="0" w:right="0"/>
              <w:rPr>
                <w:rFonts w:hint="default" w:hAnsi="Times New Roman" w:eastAsia="宋体" w:cs="Times New Roman"/>
                <w:color w:val="000000"/>
                <w:szCs w:val="20"/>
                <w:lang w:val="en-US" w:eastAsia="zh-CN"/>
              </w:rPr>
            </w:pPr>
            <w:r>
              <w:rPr>
                <w:rFonts w:hint="eastAsia" w:hAnsi="Times New Roman" w:cs="Times New Roman"/>
                <w:color w:val="000000"/>
                <w:szCs w:val="20"/>
                <w:lang w:val="en-US" w:eastAsia="zh-CN"/>
              </w:rPr>
              <w:t>招标代理</w:t>
            </w:r>
          </w:p>
        </w:tc>
        <w:tc>
          <w:tcPr>
            <w:tcW w:w="1291" w:type="pct"/>
            <w:noWrap w:val="0"/>
            <w:vAlign w:val="center"/>
          </w:tcPr>
          <w:p w14:paraId="22C9C0E6">
            <w:pPr>
              <w:pStyle w:val="71"/>
              <w:keepNext w:val="0"/>
              <w:keepLines w:val="0"/>
              <w:widowControl w:val="0"/>
              <w:numPr>
                <w:ilvl w:val="0"/>
                <w:numId w:val="90"/>
              </w:numPr>
              <w:suppressLineNumbers w:val="0"/>
              <w:snapToGrid w:val="0"/>
              <w:spacing w:before="0" w:beforeAutospacing="0" w:after="0" w:afterAutospacing="0"/>
              <w:ind w:left="0" w:right="0"/>
              <w:jc w:val="left"/>
              <w:rPr>
                <w:rFonts w:hint="eastAsia" w:hAnsi="Times New Roman" w:cs="Times New Roman"/>
                <w:color w:val="000000"/>
                <w:szCs w:val="20"/>
              </w:rPr>
            </w:pPr>
            <w:r>
              <w:rPr>
                <w:rFonts w:hint="eastAsia" w:hAnsi="Times New Roman" w:cs="Times New Roman"/>
                <w:color w:val="000000"/>
                <w:szCs w:val="20"/>
              </w:rPr>
              <w:t>制定招标方案</w:t>
            </w:r>
          </w:p>
          <w:p w14:paraId="667577FD">
            <w:pPr>
              <w:pStyle w:val="71"/>
              <w:keepNext w:val="0"/>
              <w:keepLines w:val="0"/>
              <w:widowControl w:val="0"/>
              <w:numPr>
                <w:ilvl w:val="0"/>
                <w:numId w:val="90"/>
              </w:numPr>
              <w:suppressLineNumbers w:val="0"/>
              <w:snapToGrid w:val="0"/>
              <w:spacing w:before="0" w:beforeAutospacing="0" w:after="0" w:afterAutospacing="0"/>
              <w:ind w:left="0" w:right="0"/>
              <w:jc w:val="left"/>
              <w:rPr>
                <w:rFonts w:hint="eastAsia" w:hAnsi="Times New Roman" w:cs="Times New Roman"/>
                <w:color w:val="000000"/>
                <w:szCs w:val="20"/>
              </w:rPr>
            </w:pPr>
            <w:r>
              <w:rPr>
                <w:rFonts w:hint="eastAsia" w:hAnsi="Times New Roman" w:cs="Times New Roman"/>
                <w:color w:val="000000"/>
                <w:szCs w:val="20"/>
              </w:rPr>
              <w:t>编制招标文件</w:t>
            </w:r>
          </w:p>
          <w:p w14:paraId="3E3CF840">
            <w:pPr>
              <w:pStyle w:val="71"/>
              <w:keepNext w:val="0"/>
              <w:keepLines w:val="0"/>
              <w:widowControl w:val="0"/>
              <w:numPr>
                <w:ilvl w:val="0"/>
                <w:numId w:val="90"/>
              </w:numPr>
              <w:suppressLineNumbers w:val="0"/>
              <w:snapToGrid w:val="0"/>
              <w:spacing w:before="0" w:beforeAutospacing="0" w:after="0" w:afterAutospacing="0"/>
              <w:ind w:left="0" w:right="0"/>
              <w:jc w:val="left"/>
              <w:rPr>
                <w:rFonts w:hint="eastAsia" w:hAnsi="Times New Roman" w:cs="Times New Roman"/>
                <w:color w:val="000000"/>
                <w:szCs w:val="20"/>
              </w:rPr>
            </w:pPr>
            <w:r>
              <w:rPr>
                <w:rFonts w:hint="eastAsia" w:hAnsi="Times New Roman" w:cs="Times New Roman"/>
                <w:color w:val="000000"/>
                <w:szCs w:val="20"/>
              </w:rPr>
              <w:t>参加招标文件审查会议</w:t>
            </w:r>
          </w:p>
        </w:tc>
        <w:tc>
          <w:tcPr>
            <w:tcW w:w="1286" w:type="pct"/>
            <w:noWrap w:val="0"/>
            <w:vAlign w:val="center"/>
          </w:tcPr>
          <w:p w14:paraId="18F3C2E2">
            <w:pPr>
              <w:pStyle w:val="72"/>
              <w:keepNext w:val="0"/>
              <w:keepLines w:val="0"/>
              <w:numPr>
                <w:ilvl w:val="0"/>
                <w:numId w:val="91"/>
              </w:numPr>
              <w:suppressLineNumbers w:val="0"/>
              <w:snapToGrid w:val="0"/>
              <w:spacing w:before="0" w:beforeAutospacing="0" w:after="0" w:afterAutospacing="0"/>
              <w:ind w:left="0" w:right="0"/>
              <w:jc w:val="left"/>
              <w:rPr>
                <w:rFonts w:hint="eastAsia"/>
                <w:color w:val="000000"/>
              </w:rPr>
            </w:pPr>
            <w:r>
              <w:rPr>
                <w:rFonts w:hint="eastAsia"/>
                <w:color w:val="000000"/>
              </w:rPr>
              <w:t>发布招标公告</w:t>
            </w:r>
          </w:p>
          <w:p w14:paraId="2D987916">
            <w:pPr>
              <w:pStyle w:val="72"/>
              <w:keepNext w:val="0"/>
              <w:keepLines w:val="0"/>
              <w:numPr>
                <w:ilvl w:val="0"/>
                <w:numId w:val="91"/>
              </w:numPr>
              <w:suppressLineNumbers w:val="0"/>
              <w:snapToGrid w:val="0"/>
              <w:spacing w:before="0" w:beforeAutospacing="0" w:after="0" w:afterAutospacing="0"/>
              <w:ind w:left="0" w:right="0"/>
              <w:jc w:val="left"/>
              <w:rPr>
                <w:rFonts w:hint="eastAsia"/>
                <w:color w:val="000000"/>
                <w:lang w:eastAsia="zh-CN"/>
              </w:rPr>
            </w:pPr>
            <w:r>
              <w:rPr>
                <w:rFonts w:hint="eastAsia"/>
                <w:color w:val="000000"/>
              </w:rPr>
              <w:t>组织投标人踏勘现场</w:t>
            </w:r>
          </w:p>
          <w:p w14:paraId="2D7A06DD">
            <w:pPr>
              <w:pStyle w:val="72"/>
              <w:keepNext w:val="0"/>
              <w:keepLines w:val="0"/>
              <w:numPr>
                <w:ilvl w:val="0"/>
                <w:numId w:val="91"/>
              </w:numPr>
              <w:suppressLineNumbers w:val="0"/>
              <w:snapToGrid w:val="0"/>
              <w:spacing w:before="0" w:beforeAutospacing="0" w:after="0" w:afterAutospacing="0"/>
              <w:ind w:left="0" w:right="0"/>
              <w:jc w:val="left"/>
              <w:rPr>
                <w:rFonts w:hint="eastAsia"/>
                <w:color w:val="000000"/>
                <w:lang w:eastAsia="zh-CN"/>
              </w:rPr>
            </w:pPr>
            <w:r>
              <w:rPr>
                <w:rFonts w:hint="eastAsia"/>
                <w:color w:val="000000"/>
              </w:rPr>
              <w:t>召开投标预备会</w:t>
            </w:r>
          </w:p>
          <w:p w14:paraId="053C8569">
            <w:pPr>
              <w:pStyle w:val="72"/>
              <w:keepNext w:val="0"/>
              <w:keepLines w:val="0"/>
              <w:numPr>
                <w:ilvl w:val="0"/>
                <w:numId w:val="91"/>
              </w:numPr>
              <w:suppressLineNumbers w:val="0"/>
              <w:snapToGrid w:val="0"/>
              <w:spacing w:before="0" w:beforeAutospacing="0" w:after="0" w:afterAutospacing="0"/>
              <w:ind w:left="0" w:right="0"/>
              <w:jc w:val="left"/>
              <w:rPr>
                <w:rFonts w:hint="eastAsia"/>
                <w:color w:val="000000"/>
                <w:lang w:eastAsia="zh-CN"/>
              </w:rPr>
            </w:pPr>
            <w:r>
              <w:rPr>
                <w:rFonts w:hint="eastAsia"/>
                <w:color w:val="000000"/>
              </w:rPr>
              <w:t>审核投标人资格</w:t>
            </w:r>
          </w:p>
          <w:p w14:paraId="6C9FF04C">
            <w:pPr>
              <w:pStyle w:val="72"/>
              <w:keepNext w:val="0"/>
              <w:keepLines w:val="0"/>
              <w:numPr>
                <w:ilvl w:val="0"/>
                <w:numId w:val="91"/>
              </w:numPr>
              <w:suppressLineNumbers w:val="0"/>
              <w:snapToGrid w:val="0"/>
              <w:spacing w:before="0" w:beforeAutospacing="0" w:after="0" w:afterAutospacing="0"/>
              <w:ind w:left="0" w:right="0"/>
              <w:jc w:val="left"/>
              <w:rPr>
                <w:rFonts w:hint="eastAsia"/>
                <w:color w:val="000000"/>
                <w:lang w:eastAsia="zh-CN"/>
              </w:rPr>
            </w:pPr>
            <w:r>
              <w:rPr>
                <w:rFonts w:hint="eastAsia"/>
                <w:color w:val="000000"/>
              </w:rPr>
              <w:t>组织开标、评标活动</w:t>
            </w:r>
          </w:p>
          <w:p w14:paraId="2F9E1A68">
            <w:pPr>
              <w:pStyle w:val="72"/>
              <w:keepNext w:val="0"/>
              <w:keepLines w:val="0"/>
              <w:numPr>
                <w:ilvl w:val="0"/>
                <w:numId w:val="91"/>
              </w:numPr>
              <w:suppressLineNumbers w:val="0"/>
              <w:snapToGrid w:val="0"/>
              <w:spacing w:before="0" w:beforeAutospacing="0" w:after="0" w:afterAutospacing="0"/>
              <w:ind w:left="0" w:right="0"/>
              <w:jc w:val="left"/>
              <w:rPr>
                <w:rFonts w:hint="eastAsia"/>
                <w:color w:val="000000"/>
                <w:lang w:eastAsia="zh-CN"/>
              </w:rPr>
            </w:pPr>
            <w:r>
              <w:rPr>
                <w:rFonts w:hint="eastAsia"/>
                <w:color w:val="000000"/>
              </w:rPr>
              <w:t>编制评标报告</w:t>
            </w:r>
          </w:p>
        </w:tc>
        <w:tc>
          <w:tcPr>
            <w:tcW w:w="1347" w:type="pct"/>
            <w:noWrap w:val="0"/>
            <w:vAlign w:val="center"/>
          </w:tcPr>
          <w:p w14:paraId="53CB86AA">
            <w:pPr>
              <w:pStyle w:val="72"/>
              <w:keepNext w:val="0"/>
              <w:keepLines w:val="0"/>
              <w:numPr>
                <w:ilvl w:val="0"/>
                <w:numId w:val="92"/>
              </w:numPr>
              <w:suppressLineNumbers w:val="0"/>
              <w:snapToGrid w:val="0"/>
              <w:spacing w:before="0" w:beforeAutospacing="0" w:after="0" w:afterAutospacing="0"/>
              <w:ind w:left="0" w:right="0"/>
              <w:jc w:val="left"/>
              <w:rPr>
                <w:rFonts w:hint="eastAsia"/>
                <w:color w:val="000000"/>
              </w:rPr>
            </w:pPr>
            <w:r>
              <w:rPr>
                <w:rFonts w:hint="eastAsia"/>
                <w:color w:val="000000"/>
              </w:rPr>
              <w:t>发布中标公告</w:t>
            </w:r>
          </w:p>
          <w:p w14:paraId="0863A11F">
            <w:pPr>
              <w:pStyle w:val="72"/>
              <w:keepNext w:val="0"/>
              <w:keepLines w:val="0"/>
              <w:numPr>
                <w:ilvl w:val="0"/>
                <w:numId w:val="92"/>
              </w:numPr>
              <w:suppressLineNumbers w:val="0"/>
              <w:snapToGrid w:val="0"/>
              <w:spacing w:before="0" w:beforeAutospacing="0" w:after="0" w:afterAutospacing="0"/>
              <w:ind w:left="0" w:right="0"/>
              <w:jc w:val="left"/>
              <w:rPr>
                <w:rFonts w:hint="default"/>
                <w:color w:val="000000"/>
                <w:lang w:val="en-US" w:eastAsia="zh-CN"/>
              </w:rPr>
            </w:pPr>
            <w:r>
              <w:rPr>
                <w:rFonts w:hint="eastAsia"/>
                <w:color w:val="000000"/>
              </w:rPr>
              <w:t>组织签订合同</w:t>
            </w:r>
          </w:p>
          <w:p w14:paraId="626A23E9">
            <w:pPr>
              <w:pStyle w:val="72"/>
              <w:keepNext w:val="0"/>
              <w:keepLines w:val="0"/>
              <w:numPr>
                <w:ilvl w:val="0"/>
                <w:numId w:val="92"/>
              </w:numPr>
              <w:suppressLineNumbers w:val="0"/>
              <w:snapToGrid w:val="0"/>
              <w:spacing w:before="0" w:beforeAutospacing="0" w:after="0" w:afterAutospacing="0"/>
              <w:ind w:left="0" w:right="0"/>
              <w:jc w:val="left"/>
              <w:rPr>
                <w:rFonts w:hint="default"/>
                <w:color w:val="000000"/>
                <w:lang w:val="en-US" w:eastAsia="zh-CN"/>
              </w:rPr>
            </w:pPr>
            <w:r>
              <w:rPr>
                <w:rFonts w:hint="eastAsia"/>
                <w:color w:val="000000"/>
              </w:rPr>
              <w:t>处理合同纠纷</w:t>
            </w:r>
          </w:p>
          <w:p w14:paraId="1E3FBD89">
            <w:pPr>
              <w:pStyle w:val="72"/>
              <w:keepNext w:val="0"/>
              <w:keepLines w:val="0"/>
              <w:numPr>
                <w:ilvl w:val="0"/>
                <w:numId w:val="92"/>
              </w:numPr>
              <w:suppressLineNumbers w:val="0"/>
              <w:snapToGrid w:val="0"/>
              <w:spacing w:before="0" w:beforeAutospacing="0" w:after="0" w:afterAutospacing="0"/>
              <w:ind w:left="0" w:right="0"/>
              <w:jc w:val="left"/>
              <w:rPr>
                <w:rFonts w:hint="default"/>
                <w:color w:val="000000"/>
                <w:lang w:val="en-US" w:eastAsia="zh-CN"/>
              </w:rPr>
            </w:pPr>
            <w:r>
              <w:rPr>
                <w:rFonts w:hint="eastAsia"/>
                <w:color w:val="000000"/>
              </w:rPr>
              <w:t>整理资料并归档备案</w:t>
            </w:r>
          </w:p>
        </w:tc>
      </w:tr>
      <w:tr w14:paraId="5EFDE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6A243C8E">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工程监理</w:t>
            </w:r>
          </w:p>
        </w:tc>
        <w:tc>
          <w:tcPr>
            <w:tcW w:w="1291" w:type="pct"/>
            <w:noWrap w:val="0"/>
            <w:vAlign w:val="center"/>
          </w:tcPr>
          <w:p w14:paraId="3AE00C07">
            <w:pPr>
              <w:pStyle w:val="71"/>
              <w:keepNext w:val="0"/>
              <w:keepLines w:val="0"/>
              <w:widowControl w:val="0"/>
              <w:suppressLineNumbers w:val="0"/>
              <w:snapToGrid w:val="0"/>
              <w:spacing w:before="0" w:beforeAutospacing="0" w:after="0" w:afterAutospacing="0"/>
              <w:ind w:left="0" w:right="0"/>
              <w:rPr>
                <w:rFonts w:hint="default" w:hAnsi="宋体" w:cs="宋体"/>
                <w:color w:val="000000"/>
                <w:kern w:val="2"/>
                <w:szCs w:val="18"/>
              </w:rPr>
            </w:pPr>
            <w:r>
              <w:rPr>
                <w:rFonts w:hint="eastAsia" w:hAnsi="Times New Roman" w:cs="Times New Roman"/>
                <w:color w:val="000000"/>
                <w:szCs w:val="20"/>
              </w:rPr>
              <w:t>-</w:t>
            </w:r>
          </w:p>
        </w:tc>
        <w:tc>
          <w:tcPr>
            <w:tcW w:w="1286" w:type="pct"/>
            <w:noWrap w:val="0"/>
            <w:vAlign w:val="center"/>
          </w:tcPr>
          <w:p w14:paraId="40836D35">
            <w:pPr>
              <w:pStyle w:val="72"/>
              <w:keepNext w:val="0"/>
              <w:keepLines w:val="0"/>
              <w:suppressLineNumbers w:val="0"/>
              <w:snapToGrid w:val="0"/>
              <w:spacing w:before="0" w:beforeAutospacing="0" w:after="0" w:afterAutospacing="0"/>
              <w:ind w:left="0" w:right="0"/>
              <w:jc w:val="left"/>
              <w:rPr>
                <w:rFonts w:hint="eastAsia"/>
                <w:color w:val="000000"/>
                <w:lang w:eastAsia="zh-CN"/>
              </w:rPr>
            </w:pPr>
            <w:r>
              <w:rPr>
                <w:rFonts w:hint="eastAsia"/>
                <w:color w:val="000000"/>
                <w:lang w:eastAsia="zh-CN"/>
              </w:rPr>
              <w:t>1.</w:t>
            </w:r>
            <w:r>
              <w:rPr>
                <w:rFonts w:hint="eastAsia"/>
                <w:color w:val="000000"/>
              </w:rPr>
              <w:t>审查勘察</w:t>
            </w:r>
            <w:r>
              <w:rPr>
                <w:rFonts w:hint="eastAsia"/>
                <w:color w:val="000000"/>
                <w:lang w:eastAsia="zh-CN"/>
              </w:rPr>
              <w:t>、</w:t>
            </w:r>
            <w:r>
              <w:rPr>
                <w:rFonts w:hint="eastAsia"/>
                <w:color w:val="000000"/>
                <w:lang w:val="en-US" w:eastAsia="zh-CN"/>
              </w:rPr>
              <w:t>设计</w:t>
            </w:r>
            <w:r>
              <w:rPr>
                <w:rFonts w:hint="eastAsia"/>
                <w:color w:val="000000"/>
              </w:rPr>
              <w:t>方案等策划文件</w:t>
            </w:r>
          </w:p>
          <w:p w14:paraId="0D2BF681">
            <w:pPr>
              <w:pStyle w:val="72"/>
              <w:keepNext w:val="0"/>
              <w:keepLines w:val="0"/>
              <w:suppressLineNumbers w:val="0"/>
              <w:snapToGrid w:val="0"/>
              <w:spacing w:before="0" w:beforeAutospacing="0" w:after="0" w:afterAutospacing="0"/>
              <w:ind w:left="0" w:right="0"/>
              <w:jc w:val="left"/>
              <w:rPr>
                <w:rFonts w:hint="default" w:eastAsia="宋体"/>
                <w:color w:val="000000"/>
                <w:lang w:val="en-US" w:eastAsia="zh-CN"/>
              </w:rPr>
            </w:pPr>
            <w:r>
              <w:rPr>
                <w:rFonts w:hint="eastAsia"/>
                <w:color w:val="000000"/>
                <w:lang w:val="en-US" w:eastAsia="zh-CN"/>
              </w:rPr>
              <w:t>2.</w:t>
            </w:r>
            <w:r>
              <w:rPr>
                <w:rFonts w:hint="eastAsia"/>
                <w:color w:val="000000"/>
              </w:rPr>
              <w:t>检查勘察</w:t>
            </w:r>
            <w:r>
              <w:rPr>
                <w:rFonts w:hint="eastAsia"/>
                <w:color w:val="000000"/>
                <w:lang w:eastAsia="zh-CN"/>
              </w:rPr>
              <w:t>、</w:t>
            </w:r>
            <w:r>
              <w:rPr>
                <w:rFonts w:hint="eastAsia"/>
                <w:color w:val="000000"/>
                <w:lang w:val="en-US" w:eastAsia="zh-CN"/>
              </w:rPr>
              <w:t>设计</w:t>
            </w:r>
            <w:r>
              <w:rPr>
                <w:rFonts w:hint="eastAsia"/>
                <w:color w:val="000000"/>
              </w:rPr>
              <w:t>执行情况</w:t>
            </w:r>
            <w:r>
              <w:rPr>
                <w:rFonts w:hint="eastAsia"/>
                <w:color w:val="000000"/>
                <w:lang w:val="en-US" w:eastAsia="zh-CN"/>
              </w:rPr>
              <w:t>与进度</w:t>
            </w:r>
          </w:p>
          <w:p w14:paraId="3334576A">
            <w:pPr>
              <w:pStyle w:val="72"/>
              <w:keepNext w:val="0"/>
              <w:keepLines w:val="0"/>
              <w:suppressLineNumbers w:val="0"/>
              <w:snapToGrid w:val="0"/>
              <w:spacing w:before="0" w:beforeAutospacing="0" w:after="0" w:afterAutospacing="0"/>
              <w:ind w:left="0" w:right="0"/>
              <w:jc w:val="left"/>
              <w:rPr>
                <w:rFonts w:hint="default"/>
                <w:color w:val="000000"/>
                <w:lang w:val="en-US" w:eastAsia="zh-CN"/>
              </w:rPr>
            </w:pPr>
            <w:r>
              <w:rPr>
                <w:rFonts w:hint="eastAsia"/>
                <w:color w:val="000000"/>
                <w:lang w:val="en-US" w:eastAsia="zh-CN"/>
              </w:rPr>
              <w:t>3.</w:t>
            </w:r>
            <w:r>
              <w:rPr>
                <w:rFonts w:hint="eastAsia"/>
                <w:color w:val="000000"/>
              </w:rPr>
              <w:t>审查勘察</w:t>
            </w:r>
            <w:r>
              <w:rPr>
                <w:rFonts w:hint="eastAsia"/>
                <w:color w:val="000000"/>
                <w:lang w:eastAsia="zh-CN"/>
              </w:rPr>
              <w:t>、</w:t>
            </w:r>
            <w:r>
              <w:rPr>
                <w:rFonts w:hint="eastAsia"/>
                <w:color w:val="000000"/>
                <w:lang w:val="en-US" w:eastAsia="zh-CN"/>
              </w:rPr>
              <w:t>设计</w:t>
            </w:r>
            <w:r>
              <w:rPr>
                <w:rFonts w:hint="eastAsia"/>
                <w:color w:val="000000"/>
              </w:rPr>
              <w:t>成果</w:t>
            </w:r>
            <w:r>
              <w:rPr>
                <w:rFonts w:hint="eastAsia"/>
                <w:color w:val="000000"/>
                <w:lang w:val="en-US" w:eastAsia="zh-CN"/>
              </w:rPr>
              <w:t>文件</w:t>
            </w:r>
          </w:p>
          <w:p w14:paraId="26552726">
            <w:pPr>
              <w:pStyle w:val="72"/>
              <w:keepNext w:val="0"/>
              <w:keepLines w:val="0"/>
              <w:suppressLineNumbers w:val="0"/>
              <w:snapToGrid w:val="0"/>
              <w:spacing w:before="0" w:beforeAutospacing="0" w:after="0" w:afterAutospacing="0"/>
              <w:ind w:left="0" w:right="0"/>
              <w:jc w:val="left"/>
              <w:rPr>
                <w:rFonts w:hint="eastAsia"/>
                <w:color w:val="000000"/>
              </w:rPr>
            </w:pPr>
            <w:r>
              <w:rPr>
                <w:rFonts w:hint="eastAsia"/>
                <w:color w:val="000000"/>
                <w:lang w:val="en-US" w:eastAsia="zh-CN"/>
              </w:rPr>
              <w:t>4</w:t>
            </w:r>
            <w:r>
              <w:rPr>
                <w:rFonts w:hint="eastAsia"/>
                <w:color w:val="000000"/>
                <w:lang w:eastAsia="zh-CN"/>
              </w:rPr>
              <w:t>.</w:t>
            </w:r>
            <w:r>
              <w:rPr>
                <w:rFonts w:hint="eastAsia"/>
                <w:color w:val="000000"/>
              </w:rPr>
              <w:t>审查勘察</w:t>
            </w:r>
            <w:r>
              <w:rPr>
                <w:rFonts w:hint="eastAsia"/>
                <w:color w:val="000000"/>
                <w:lang w:eastAsia="zh-CN"/>
              </w:rPr>
              <w:t>、</w:t>
            </w:r>
            <w:r>
              <w:rPr>
                <w:rFonts w:hint="eastAsia"/>
                <w:color w:val="000000"/>
                <w:lang w:val="en-US" w:eastAsia="zh-CN"/>
              </w:rPr>
              <w:t>设计</w:t>
            </w:r>
            <w:r>
              <w:rPr>
                <w:rFonts w:hint="eastAsia"/>
                <w:color w:val="000000"/>
              </w:rPr>
              <w:t>结算文件</w:t>
            </w:r>
          </w:p>
          <w:p w14:paraId="41DC885F">
            <w:pPr>
              <w:pStyle w:val="72"/>
              <w:keepNext w:val="0"/>
              <w:keepLines w:val="0"/>
              <w:suppressLineNumbers w:val="0"/>
              <w:snapToGrid w:val="0"/>
              <w:spacing w:before="0" w:beforeAutospacing="0" w:after="0" w:afterAutospacing="0"/>
              <w:ind w:left="0" w:right="0"/>
              <w:jc w:val="left"/>
              <w:rPr>
                <w:rFonts w:hint="default"/>
                <w:color w:val="000000"/>
                <w:lang w:eastAsia="zh-CN"/>
              </w:rPr>
            </w:pPr>
          </w:p>
        </w:tc>
        <w:tc>
          <w:tcPr>
            <w:tcW w:w="1347" w:type="pct"/>
            <w:noWrap w:val="0"/>
            <w:vAlign w:val="center"/>
          </w:tcPr>
          <w:p w14:paraId="0880ACA5">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1.工程质量控制</w:t>
            </w:r>
          </w:p>
          <w:p w14:paraId="49562624">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2.工程进度控制</w:t>
            </w:r>
          </w:p>
          <w:p w14:paraId="2F49BDF3">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3.工程造价控制</w:t>
            </w:r>
          </w:p>
          <w:p w14:paraId="73E517AC">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4.安全生产管理的监理工作</w:t>
            </w:r>
          </w:p>
          <w:p w14:paraId="13781E7A">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5.合同管理</w:t>
            </w:r>
          </w:p>
          <w:p w14:paraId="259548E8">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6.监理文件及信息管理</w:t>
            </w:r>
          </w:p>
          <w:p w14:paraId="78B4A1BB">
            <w:pPr>
              <w:pStyle w:val="72"/>
              <w:keepNext w:val="0"/>
              <w:keepLines w:val="0"/>
              <w:suppressLineNumbers w:val="0"/>
              <w:snapToGrid w:val="0"/>
              <w:spacing w:before="0" w:beforeAutospacing="0" w:after="0" w:afterAutospacing="0"/>
              <w:ind w:left="0" w:right="0"/>
              <w:jc w:val="left"/>
              <w:rPr>
                <w:rFonts w:hint="default"/>
                <w:color w:val="000000"/>
              </w:rPr>
            </w:pPr>
            <w:r>
              <w:rPr>
                <w:rFonts w:hint="eastAsia"/>
                <w:color w:val="000000"/>
                <w:lang w:eastAsia="zh-CN"/>
              </w:rPr>
              <w:t>7.组织协调</w:t>
            </w:r>
          </w:p>
        </w:tc>
      </w:tr>
      <w:tr w14:paraId="768159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2D4874E9">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highlight w:val="yellow"/>
              </w:rPr>
            </w:pPr>
            <w:r>
              <w:rPr>
                <w:rFonts w:hint="eastAsia" w:hAnsi="Times New Roman" w:cs="Times New Roman"/>
                <w:color w:val="000000"/>
                <w:szCs w:val="20"/>
              </w:rPr>
              <w:t>设备监理</w:t>
            </w:r>
          </w:p>
        </w:tc>
        <w:tc>
          <w:tcPr>
            <w:tcW w:w="1291" w:type="pct"/>
            <w:noWrap w:val="0"/>
            <w:vAlign w:val="center"/>
          </w:tcPr>
          <w:p w14:paraId="45F9DC28">
            <w:pPr>
              <w:pStyle w:val="71"/>
              <w:keepNext w:val="0"/>
              <w:keepLines w:val="0"/>
              <w:widowControl w:val="0"/>
              <w:suppressLineNumbers w:val="0"/>
              <w:snapToGrid w:val="0"/>
              <w:spacing w:before="0" w:beforeAutospacing="0" w:after="0" w:afterAutospacing="0"/>
              <w:ind w:left="0" w:right="0"/>
              <w:rPr>
                <w:rFonts w:hint="default" w:hAnsi="宋体" w:cs="宋体"/>
                <w:color w:val="000000"/>
                <w:kern w:val="2"/>
                <w:szCs w:val="18"/>
              </w:rPr>
            </w:pPr>
            <w:r>
              <w:rPr>
                <w:rFonts w:hint="eastAsia" w:hAnsi="Times New Roman" w:cs="Times New Roman"/>
                <w:color w:val="000000"/>
                <w:szCs w:val="20"/>
              </w:rPr>
              <w:t>-</w:t>
            </w:r>
          </w:p>
        </w:tc>
        <w:tc>
          <w:tcPr>
            <w:tcW w:w="1286" w:type="pct"/>
            <w:noWrap w:val="0"/>
            <w:vAlign w:val="center"/>
          </w:tcPr>
          <w:p w14:paraId="48D0840A">
            <w:pPr>
              <w:pStyle w:val="72"/>
              <w:keepNext w:val="0"/>
              <w:keepLines w:val="0"/>
              <w:numPr>
                <w:ilvl w:val="0"/>
                <w:numId w:val="0"/>
              </w:numPr>
              <w:suppressLineNumbers w:val="0"/>
              <w:snapToGrid w:val="0"/>
              <w:spacing w:before="0" w:beforeAutospacing="0" w:after="0" w:afterAutospacing="0"/>
              <w:ind w:left="0" w:right="0"/>
              <w:jc w:val="both"/>
              <w:rPr>
                <w:rFonts w:hint="eastAsia"/>
                <w:color w:val="000000"/>
                <w:lang w:val="en-US" w:eastAsia="zh-CN"/>
              </w:rPr>
            </w:pPr>
            <w:r>
              <w:rPr>
                <w:rFonts w:hint="eastAsia"/>
                <w:color w:val="000000"/>
                <w:lang w:eastAsia="zh-CN"/>
              </w:rPr>
              <w:t>1.</w:t>
            </w:r>
            <w:r>
              <w:rPr>
                <w:rFonts w:hint="eastAsia"/>
                <w:color w:val="000000"/>
                <w:lang w:val="en-US" w:eastAsia="zh-CN"/>
              </w:rPr>
              <w:t>监理策划</w:t>
            </w:r>
          </w:p>
          <w:p w14:paraId="6C28D31D">
            <w:pPr>
              <w:pStyle w:val="72"/>
              <w:keepNext w:val="0"/>
              <w:keepLines w:val="0"/>
              <w:numPr>
                <w:ilvl w:val="0"/>
                <w:numId w:val="0"/>
              </w:numPr>
              <w:suppressLineNumbers w:val="0"/>
              <w:snapToGrid w:val="0"/>
              <w:spacing w:before="0" w:beforeAutospacing="0" w:after="0" w:afterAutospacing="0"/>
              <w:ind w:left="0" w:right="0"/>
              <w:jc w:val="both"/>
              <w:rPr>
                <w:rFonts w:hint="eastAsia"/>
                <w:color w:val="000000"/>
                <w:lang w:val="en-US" w:eastAsia="zh-CN"/>
              </w:rPr>
            </w:pPr>
            <w:r>
              <w:rPr>
                <w:rFonts w:hint="eastAsia"/>
                <w:color w:val="000000"/>
                <w:lang w:val="en-US" w:eastAsia="zh-CN"/>
              </w:rPr>
              <w:t>2.质量管理</w:t>
            </w:r>
          </w:p>
          <w:p w14:paraId="1E2922D4">
            <w:pPr>
              <w:pStyle w:val="72"/>
              <w:keepNext w:val="0"/>
              <w:keepLines w:val="0"/>
              <w:numPr>
                <w:ilvl w:val="0"/>
                <w:numId w:val="0"/>
              </w:numPr>
              <w:suppressLineNumbers w:val="0"/>
              <w:snapToGrid w:val="0"/>
              <w:spacing w:before="0" w:beforeAutospacing="0" w:after="0" w:afterAutospacing="0"/>
              <w:ind w:left="0" w:right="0"/>
              <w:jc w:val="both"/>
              <w:rPr>
                <w:rFonts w:hint="eastAsia"/>
                <w:color w:val="000000"/>
                <w:lang w:val="en-US" w:eastAsia="zh-CN"/>
              </w:rPr>
            </w:pPr>
            <w:r>
              <w:rPr>
                <w:rFonts w:hint="eastAsia"/>
                <w:color w:val="000000"/>
                <w:lang w:val="en-US" w:eastAsia="zh-CN"/>
              </w:rPr>
              <w:t>3.进度管理</w:t>
            </w:r>
          </w:p>
          <w:p w14:paraId="200EA2F1">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val="en-US" w:eastAsia="zh-CN"/>
              </w:rPr>
              <w:t>4.信息管理</w:t>
            </w:r>
          </w:p>
        </w:tc>
        <w:tc>
          <w:tcPr>
            <w:tcW w:w="1347" w:type="pct"/>
            <w:noWrap w:val="0"/>
            <w:vAlign w:val="center"/>
          </w:tcPr>
          <w:p w14:paraId="0B578D0C">
            <w:pPr>
              <w:pStyle w:val="72"/>
              <w:keepNext w:val="0"/>
              <w:keepLines w:val="0"/>
              <w:numPr>
                <w:ilvl w:val="0"/>
                <w:numId w:val="0"/>
              </w:numPr>
              <w:suppressLineNumbers w:val="0"/>
              <w:snapToGrid w:val="0"/>
              <w:spacing w:before="0" w:beforeAutospacing="0" w:after="0" w:afterAutospacing="0"/>
              <w:ind w:left="0" w:right="0"/>
              <w:rPr>
                <w:rFonts w:hint="default"/>
                <w:color w:val="000000"/>
                <w:lang w:val="en-US" w:eastAsia="zh-CN"/>
              </w:rPr>
            </w:pPr>
            <w:r>
              <w:rPr>
                <w:rFonts w:hint="eastAsia"/>
                <w:color w:val="000000"/>
              </w:rPr>
              <w:t>-</w:t>
            </w:r>
          </w:p>
        </w:tc>
      </w:tr>
      <w:tr w14:paraId="5C403B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5045DEAB">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造价咨询</w:t>
            </w:r>
          </w:p>
        </w:tc>
        <w:tc>
          <w:tcPr>
            <w:tcW w:w="1291" w:type="pct"/>
            <w:noWrap w:val="0"/>
            <w:vAlign w:val="center"/>
          </w:tcPr>
          <w:p w14:paraId="292CCFDD">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投资估算编制或审核</w:t>
            </w:r>
          </w:p>
        </w:tc>
        <w:tc>
          <w:tcPr>
            <w:tcW w:w="1286" w:type="pct"/>
            <w:noWrap w:val="0"/>
            <w:vAlign w:val="center"/>
          </w:tcPr>
          <w:p w14:paraId="0708DA3A">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1.概算编制或审核</w:t>
            </w:r>
          </w:p>
          <w:p w14:paraId="5D13DB47">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2.施工图预算编制或审核</w:t>
            </w:r>
          </w:p>
          <w:p w14:paraId="09899D3E">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3.工程量清单及最高投标限价编制或审核</w:t>
            </w:r>
          </w:p>
        </w:tc>
        <w:tc>
          <w:tcPr>
            <w:tcW w:w="1347" w:type="pct"/>
            <w:noWrap w:val="0"/>
            <w:vAlign w:val="center"/>
          </w:tcPr>
          <w:p w14:paraId="3DF96AF1">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1.工程变更及现场签证审核</w:t>
            </w:r>
          </w:p>
          <w:p w14:paraId="3777FB4E">
            <w:pPr>
              <w:pStyle w:val="72"/>
              <w:keepNext w:val="0"/>
              <w:keepLines w:val="0"/>
              <w:suppressLineNumbers w:val="0"/>
              <w:snapToGrid w:val="0"/>
              <w:spacing w:before="0" w:beforeAutospacing="0" w:after="0" w:afterAutospacing="0"/>
              <w:ind w:left="0" w:right="0"/>
              <w:jc w:val="left"/>
              <w:rPr>
                <w:rFonts w:hint="eastAsia"/>
                <w:color w:val="000000"/>
                <w:lang w:eastAsia="zh-CN"/>
              </w:rPr>
            </w:pPr>
            <w:r>
              <w:rPr>
                <w:rFonts w:hint="eastAsia"/>
                <w:color w:val="000000"/>
                <w:lang w:eastAsia="zh-CN"/>
              </w:rPr>
              <w:t>2.分部结算编制或审核</w:t>
            </w:r>
          </w:p>
          <w:p w14:paraId="6AD13458">
            <w:pPr>
              <w:pStyle w:val="72"/>
              <w:keepNext w:val="0"/>
              <w:keepLines w:val="0"/>
              <w:suppressLineNumbers w:val="0"/>
              <w:snapToGrid w:val="0"/>
              <w:spacing w:before="0" w:beforeAutospacing="0" w:after="0" w:afterAutospacing="0"/>
              <w:ind w:left="0" w:right="0"/>
              <w:jc w:val="left"/>
              <w:rPr>
                <w:rFonts w:hint="eastAsia"/>
                <w:color w:val="000000"/>
              </w:rPr>
            </w:pPr>
            <w:r>
              <w:rPr>
                <w:rFonts w:hint="eastAsia"/>
                <w:color w:val="000000"/>
                <w:lang w:val="en-US" w:eastAsia="zh-CN"/>
              </w:rPr>
              <w:t>3.</w:t>
            </w:r>
            <w:r>
              <w:rPr>
                <w:rFonts w:hint="eastAsia"/>
                <w:color w:val="000000"/>
              </w:rPr>
              <w:t>审核竣工结算文件</w:t>
            </w:r>
          </w:p>
          <w:p w14:paraId="50CB86E3">
            <w:pPr>
              <w:pStyle w:val="72"/>
              <w:keepNext w:val="0"/>
              <w:keepLines w:val="0"/>
              <w:suppressLineNumbers w:val="0"/>
              <w:snapToGrid w:val="0"/>
              <w:spacing w:before="0" w:beforeAutospacing="0" w:after="0" w:afterAutospacing="0"/>
              <w:ind w:left="0" w:right="0"/>
              <w:jc w:val="left"/>
              <w:rPr>
                <w:rFonts w:hint="default" w:eastAsia="宋体"/>
                <w:color w:val="000000"/>
                <w:lang w:val="en-US" w:eastAsia="zh-CN"/>
              </w:rPr>
            </w:pPr>
            <w:r>
              <w:rPr>
                <w:rFonts w:hint="eastAsia"/>
                <w:color w:val="000000"/>
                <w:lang w:val="en-US" w:eastAsia="zh-CN"/>
              </w:rPr>
              <w:t>4.</w:t>
            </w:r>
            <w:r>
              <w:rPr>
                <w:rFonts w:hint="eastAsia"/>
                <w:color w:val="000000"/>
              </w:rPr>
              <w:t>配合开展工程结算检查、财务决算、工程审计</w:t>
            </w:r>
          </w:p>
        </w:tc>
      </w:tr>
      <w:tr w14:paraId="63814D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trHeight w:val="540" w:hRule="atLeast"/>
          <w:jc w:val="center"/>
        </w:trPr>
        <w:tc>
          <w:tcPr>
            <w:tcW w:w="1074" w:type="pct"/>
            <w:noWrap w:val="0"/>
            <w:vAlign w:val="center"/>
          </w:tcPr>
          <w:p w14:paraId="34D8D8B0">
            <w:pPr>
              <w:pStyle w:val="71"/>
              <w:keepNext w:val="0"/>
              <w:keepLines w:val="0"/>
              <w:widowControl w:val="0"/>
              <w:suppressLineNumbers w:val="0"/>
              <w:spacing w:before="0" w:beforeAutospacing="0" w:after="0" w:afterAutospacing="0"/>
              <w:ind w:left="0" w:right="0"/>
              <w:rPr>
                <w:rFonts w:hint="eastAsia" w:hAnsi="Times New Roman" w:cs="Times New Roman"/>
                <w:color w:val="000000"/>
                <w:szCs w:val="20"/>
              </w:rPr>
            </w:pPr>
            <w:r>
              <w:rPr>
                <w:rFonts w:hint="eastAsia" w:hAnsi="Times New Roman" w:cs="Times New Roman"/>
                <w:color w:val="000000"/>
                <w:szCs w:val="20"/>
              </w:rPr>
              <w:t>数智化管理咨询</w:t>
            </w:r>
          </w:p>
        </w:tc>
        <w:tc>
          <w:tcPr>
            <w:tcW w:w="1291" w:type="pct"/>
            <w:noWrap w:val="0"/>
            <w:vAlign w:val="center"/>
          </w:tcPr>
          <w:p w14:paraId="5D40ED58">
            <w:pPr>
              <w:pStyle w:val="72"/>
              <w:keepNext w:val="0"/>
              <w:keepLines w:val="0"/>
              <w:suppressLineNumbers w:val="0"/>
              <w:snapToGrid w:val="0"/>
              <w:spacing w:before="0" w:beforeAutospacing="0" w:after="0" w:afterAutospacing="0"/>
              <w:ind w:left="0" w:right="0"/>
              <w:jc w:val="left"/>
              <w:rPr>
                <w:rFonts w:hint="eastAsia"/>
                <w:color w:val="000000"/>
                <w:lang w:eastAsia="zh-CN"/>
              </w:rPr>
            </w:pPr>
          </w:p>
        </w:tc>
        <w:tc>
          <w:tcPr>
            <w:tcW w:w="1286" w:type="pct"/>
            <w:noWrap w:val="0"/>
            <w:vAlign w:val="center"/>
          </w:tcPr>
          <w:p w14:paraId="7591AB7C">
            <w:pPr>
              <w:pStyle w:val="72"/>
              <w:keepNext w:val="0"/>
              <w:keepLines w:val="0"/>
              <w:suppressLineNumbers w:val="0"/>
              <w:snapToGrid w:val="0"/>
              <w:spacing w:before="0" w:beforeAutospacing="0" w:after="0" w:afterAutospacing="0"/>
              <w:ind w:left="0" w:right="0"/>
              <w:jc w:val="left"/>
              <w:rPr>
                <w:rFonts w:hint="default" w:eastAsia="宋体"/>
                <w:color w:val="000000"/>
                <w:lang w:val="en-US" w:eastAsia="zh-CN"/>
              </w:rPr>
            </w:pPr>
            <w:r>
              <w:rPr>
                <w:rFonts w:hint="eastAsia"/>
                <w:color w:val="000000"/>
                <w:lang w:val="en-US" w:eastAsia="zh-CN"/>
              </w:rPr>
              <w:t>1.数字化管理策划</w:t>
            </w:r>
          </w:p>
        </w:tc>
        <w:tc>
          <w:tcPr>
            <w:tcW w:w="1347" w:type="pct"/>
            <w:noWrap w:val="0"/>
            <w:vAlign w:val="center"/>
          </w:tcPr>
          <w:p w14:paraId="7E22D05F">
            <w:pPr>
              <w:pStyle w:val="72"/>
              <w:keepNext w:val="0"/>
              <w:keepLines w:val="0"/>
              <w:suppressLineNumbers w:val="0"/>
              <w:snapToGrid w:val="0"/>
              <w:spacing w:before="0" w:beforeAutospacing="0" w:after="0" w:afterAutospacing="0"/>
              <w:ind w:left="0" w:right="0"/>
              <w:jc w:val="left"/>
              <w:rPr>
                <w:rFonts w:hint="eastAsia"/>
                <w:color w:val="000000"/>
                <w:lang w:val="en-US" w:eastAsia="zh-CN"/>
              </w:rPr>
            </w:pPr>
            <w:r>
              <w:rPr>
                <w:rFonts w:hint="eastAsia"/>
                <w:color w:val="000000"/>
                <w:lang w:val="en-US" w:eastAsia="zh-CN"/>
              </w:rPr>
              <w:t>1.数智化管理平台建设</w:t>
            </w:r>
          </w:p>
          <w:p w14:paraId="2CB49F2C">
            <w:pPr>
              <w:pStyle w:val="72"/>
              <w:keepNext w:val="0"/>
              <w:keepLines w:val="0"/>
              <w:suppressLineNumbers w:val="0"/>
              <w:snapToGrid w:val="0"/>
              <w:spacing w:before="0" w:beforeAutospacing="0" w:after="0" w:afterAutospacing="0"/>
              <w:ind w:left="0" w:right="0"/>
              <w:jc w:val="left"/>
              <w:rPr>
                <w:rFonts w:hint="eastAsia"/>
                <w:color w:val="000000"/>
                <w:lang w:val="en-US" w:eastAsia="zh-CN"/>
              </w:rPr>
            </w:pPr>
            <w:r>
              <w:rPr>
                <w:rFonts w:hint="eastAsia"/>
                <w:color w:val="000000"/>
                <w:lang w:val="en-US" w:eastAsia="zh-CN"/>
              </w:rPr>
              <w:t>2.施工过程智能管控</w:t>
            </w:r>
          </w:p>
          <w:p w14:paraId="5FEACBDE">
            <w:pPr>
              <w:pStyle w:val="72"/>
              <w:keepNext w:val="0"/>
              <w:keepLines w:val="0"/>
              <w:suppressLineNumbers w:val="0"/>
              <w:snapToGrid w:val="0"/>
              <w:spacing w:before="0" w:beforeAutospacing="0" w:after="0" w:afterAutospacing="0"/>
              <w:ind w:left="0" w:right="0"/>
              <w:jc w:val="left"/>
              <w:rPr>
                <w:rFonts w:hint="eastAsia"/>
                <w:color w:val="000000"/>
                <w:lang w:val="en-US" w:eastAsia="zh-CN"/>
              </w:rPr>
            </w:pPr>
            <w:r>
              <w:rPr>
                <w:rFonts w:hint="eastAsia"/>
                <w:color w:val="000000"/>
                <w:lang w:val="en-US" w:eastAsia="zh-CN"/>
              </w:rPr>
              <w:t>3.数智化资产管理</w:t>
            </w:r>
          </w:p>
          <w:p w14:paraId="292466D7">
            <w:pPr>
              <w:pStyle w:val="72"/>
              <w:keepNext w:val="0"/>
              <w:keepLines w:val="0"/>
              <w:suppressLineNumbers w:val="0"/>
              <w:snapToGrid w:val="0"/>
              <w:spacing w:before="0" w:beforeAutospacing="0" w:after="0" w:afterAutospacing="0"/>
              <w:ind w:left="0" w:right="0"/>
              <w:jc w:val="left"/>
              <w:rPr>
                <w:rFonts w:hint="default" w:eastAsia="宋体"/>
                <w:color w:val="000000"/>
                <w:lang w:val="en-US" w:eastAsia="zh-CN"/>
              </w:rPr>
            </w:pPr>
            <w:r>
              <w:rPr>
                <w:rFonts w:hint="eastAsia"/>
                <w:color w:val="000000"/>
                <w:lang w:val="en-US" w:eastAsia="zh-CN"/>
              </w:rPr>
              <w:t>4.数智化安全管理</w:t>
            </w:r>
          </w:p>
        </w:tc>
      </w:tr>
      <w:tr w14:paraId="3F7695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trHeight w:val="540" w:hRule="atLeast"/>
          <w:jc w:val="center"/>
        </w:trPr>
        <w:tc>
          <w:tcPr>
            <w:tcW w:w="1074" w:type="pct"/>
            <w:noWrap w:val="0"/>
            <w:vAlign w:val="center"/>
          </w:tcPr>
          <w:p w14:paraId="061EE353">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绿色建造咨询</w:t>
            </w:r>
          </w:p>
        </w:tc>
        <w:tc>
          <w:tcPr>
            <w:tcW w:w="1291" w:type="pct"/>
            <w:noWrap w:val="0"/>
            <w:vAlign w:val="center"/>
          </w:tcPr>
          <w:p w14:paraId="62516942">
            <w:pPr>
              <w:pStyle w:val="72"/>
              <w:keepNext w:val="0"/>
              <w:keepLines w:val="0"/>
              <w:suppressLineNumbers w:val="0"/>
              <w:snapToGrid w:val="0"/>
              <w:spacing w:before="0" w:beforeAutospacing="0" w:after="0" w:afterAutospacing="0"/>
              <w:ind w:left="0" w:right="0"/>
              <w:jc w:val="left"/>
              <w:rPr>
                <w:rFonts w:hint="default" w:eastAsia="宋体"/>
                <w:color w:val="000000"/>
                <w:lang w:val="en-US" w:eastAsia="zh-CN"/>
              </w:rPr>
            </w:pPr>
            <w:r>
              <w:rPr>
                <w:rFonts w:hint="eastAsia"/>
                <w:color w:val="000000"/>
                <w:lang w:val="en-US" w:eastAsia="zh-CN"/>
              </w:rPr>
              <w:t>1.</w:t>
            </w:r>
            <w:r>
              <w:rPr>
                <w:rFonts w:hint="eastAsia" w:hAnsi="Times New Roman" w:eastAsia="宋体" w:cs="Times New Roman"/>
                <w:color w:val="000000"/>
                <w:highlight w:val="none"/>
              </w:rPr>
              <w:t>编制绿色建造</w:t>
            </w:r>
            <w:r>
              <w:rPr>
                <w:rFonts w:hint="eastAsia" w:hAnsi="Times New Roman" w:eastAsia="宋体" w:cs="Times New Roman"/>
                <w:color w:val="000000"/>
                <w:highlight w:val="none"/>
                <w:lang w:val="en-US" w:eastAsia="zh-CN"/>
              </w:rPr>
              <w:t>策划文件</w:t>
            </w:r>
          </w:p>
        </w:tc>
        <w:tc>
          <w:tcPr>
            <w:tcW w:w="1286" w:type="pct"/>
            <w:noWrap w:val="0"/>
            <w:vAlign w:val="center"/>
          </w:tcPr>
          <w:p w14:paraId="1591D1A3">
            <w:pPr>
              <w:pStyle w:val="72"/>
              <w:keepNext w:val="0"/>
              <w:keepLines w:val="0"/>
              <w:suppressLineNumbers w:val="0"/>
              <w:snapToGrid w:val="0"/>
              <w:spacing w:before="0" w:beforeAutospacing="0" w:after="0" w:afterAutospacing="0"/>
              <w:ind w:left="0" w:right="0"/>
              <w:jc w:val="left"/>
              <w:rPr>
                <w:rFonts w:hint="default"/>
                <w:color w:val="000000"/>
              </w:rPr>
            </w:pPr>
            <w:r>
              <w:rPr>
                <w:rFonts w:hint="eastAsia" w:hAnsi="Times New Roman" w:eastAsia="宋体" w:cs="Times New Roman"/>
                <w:color w:val="000000"/>
                <w:highlight w:val="none"/>
                <w:lang w:val="en-US" w:eastAsia="zh-CN"/>
              </w:rPr>
              <w:t>1.</w:t>
            </w:r>
            <w:r>
              <w:rPr>
                <w:rFonts w:hint="eastAsia" w:hAnsi="Times New Roman" w:eastAsia="宋体" w:cs="Times New Roman"/>
                <w:color w:val="000000"/>
                <w:highlight w:val="none"/>
              </w:rPr>
              <w:t>开展</w:t>
            </w:r>
            <w:r>
              <w:rPr>
                <w:rFonts w:hint="eastAsia" w:hAnsi="Times New Roman" w:eastAsia="宋体" w:cs="Times New Roman"/>
                <w:color w:val="000000"/>
                <w:highlight w:val="none"/>
                <w:lang w:val="en-US" w:eastAsia="zh-CN"/>
              </w:rPr>
              <w:t>设计方案</w:t>
            </w:r>
            <w:r>
              <w:rPr>
                <w:rFonts w:hint="eastAsia" w:hAnsi="Times New Roman" w:eastAsia="宋体" w:cs="Times New Roman"/>
                <w:color w:val="000000"/>
                <w:highlight w:val="none"/>
              </w:rPr>
              <w:t>绿色技术专项论证</w:t>
            </w:r>
          </w:p>
        </w:tc>
        <w:tc>
          <w:tcPr>
            <w:tcW w:w="1347" w:type="pct"/>
            <w:noWrap w:val="0"/>
            <w:vAlign w:val="center"/>
          </w:tcPr>
          <w:p w14:paraId="422629C8">
            <w:pPr>
              <w:pStyle w:val="72"/>
              <w:keepNext w:val="0"/>
              <w:keepLines w:val="0"/>
              <w:numPr>
                <w:ilvl w:val="0"/>
                <w:numId w:val="0"/>
              </w:numPr>
              <w:suppressLineNumbers w:val="0"/>
              <w:snapToGrid w:val="0"/>
              <w:spacing w:before="0" w:beforeAutospacing="0" w:after="0" w:afterAutospacing="0"/>
              <w:ind w:left="0" w:right="0"/>
              <w:jc w:val="left"/>
              <w:rPr>
                <w:rFonts w:hint="eastAsia"/>
                <w:color w:val="000000"/>
              </w:rPr>
            </w:pPr>
            <w:r>
              <w:rPr>
                <w:rFonts w:hint="eastAsia"/>
                <w:color w:val="000000"/>
                <w:lang w:val="en-US" w:eastAsia="zh-CN"/>
              </w:rPr>
              <w:t>1.</w:t>
            </w:r>
            <w:r>
              <w:rPr>
                <w:rFonts w:hint="eastAsia"/>
                <w:color w:val="000000"/>
              </w:rPr>
              <w:t>绿色建造施工评价</w:t>
            </w:r>
          </w:p>
          <w:p w14:paraId="592FB784">
            <w:pPr>
              <w:pStyle w:val="72"/>
              <w:keepNext w:val="0"/>
              <w:keepLines w:val="0"/>
              <w:numPr>
                <w:ilvl w:val="0"/>
                <w:numId w:val="0"/>
              </w:numPr>
              <w:suppressLineNumbers w:val="0"/>
              <w:snapToGrid w:val="0"/>
              <w:spacing w:before="0" w:beforeAutospacing="0" w:after="0" w:afterAutospacing="0"/>
              <w:ind w:left="0" w:right="0"/>
              <w:jc w:val="left"/>
              <w:rPr>
                <w:rFonts w:hint="eastAsia" w:hAnsi="Times New Roman" w:eastAsia="宋体" w:cs="Times New Roman"/>
                <w:color w:val="000000"/>
                <w:highlight w:val="none"/>
              </w:rPr>
            </w:pPr>
            <w:r>
              <w:rPr>
                <w:rFonts w:hint="eastAsia" w:hAnsi="Times New Roman" w:eastAsia="宋体" w:cs="Times New Roman"/>
                <w:color w:val="000000"/>
                <w:highlight w:val="none"/>
                <w:lang w:val="en-US" w:eastAsia="zh-CN"/>
              </w:rPr>
              <w:t>2.</w:t>
            </w:r>
            <w:r>
              <w:rPr>
                <w:rFonts w:hint="eastAsia" w:hAnsi="Times New Roman" w:eastAsia="宋体" w:cs="Times New Roman"/>
                <w:color w:val="000000"/>
                <w:highlight w:val="none"/>
              </w:rPr>
              <w:t>绿色建造成果总结</w:t>
            </w:r>
          </w:p>
          <w:p w14:paraId="5D28BDF8">
            <w:pPr>
              <w:pStyle w:val="72"/>
              <w:keepNext w:val="0"/>
              <w:keepLines w:val="0"/>
              <w:numPr>
                <w:ilvl w:val="0"/>
                <w:numId w:val="0"/>
              </w:numPr>
              <w:suppressLineNumbers w:val="0"/>
              <w:snapToGrid w:val="0"/>
              <w:spacing w:before="0" w:beforeAutospacing="0" w:after="0" w:afterAutospacing="0"/>
              <w:ind w:left="0" w:right="0"/>
              <w:jc w:val="left"/>
              <w:rPr>
                <w:rFonts w:hint="eastAsia"/>
                <w:color w:val="000000"/>
              </w:rPr>
            </w:pPr>
            <w:r>
              <w:rPr>
                <w:rFonts w:hint="eastAsia" w:hAnsi="Times New Roman" w:eastAsia="宋体" w:cs="Times New Roman"/>
                <w:color w:val="000000"/>
                <w:highlight w:val="none"/>
                <w:lang w:val="en-US" w:eastAsia="zh-CN"/>
              </w:rPr>
              <w:t>3.</w:t>
            </w:r>
            <w:r>
              <w:rPr>
                <w:rFonts w:hint="eastAsia"/>
                <w:color w:val="000000"/>
              </w:rPr>
              <w:t>整理资料并归档备案</w:t>
            </w:r>
          </w:p>
          <w:p w14:paraId="50D22BFD">
            <w:pPr>
              <w:pStyle w:val="72"/>
              <w:keepNext w:val="0"/>
              <w:keepLines w:val="0"/>
              <w:numPr>
                <w:ilvl w:val="0"/>
                <w:numId w:val="0"/>
              </w:numPr>
              <w:suppressLineNumbers w:val="0"/>
              <w:snapToGrid w:val="0"/>
              <w:spacing w:before="0" w:beforeAutospacing="0" w:after="0" w:afterAutospacing="0"/>
              <w:ind w:left="0" w:right="0"/>
              <w:jc w:val="left"/>
              <w:rPr>
                <w:rFonts w:hint="default" w:eastAsia="宋体"/>
                <w:color w:val="000000"/>
                <w:lang w:val="en-US" w:eastAsia="zh-CN"/>
              </w:rPr>
            </w:pPr>
            <w:r>
              <w:rPr>
                <w:rFonts w:hint="eastAsia"/>
                <w:color w:val="000000"/>
                <w:lang w:val="en-US" w:eastAsia="zh-CN"/>
              </w:rPr>
              <w:t>4.</w:t>
            </w:r>
            <w:r>
              <w:rPr>
                <w:rFonts w:hint="eastAsia" w:hAnsi="Times New Roman" w:eastAsia="宋体" w:cs="Times New Roman"/>
                <w:color w:val="000000"/>
                <w:highlight w:val="none"/>
              </w:rPr>
              <w:t>绿色建造成果总结</w:t>
            </w:r>
          </w:p>
        </w:tc>
      </w:tr>
      <w:tr w14:paraId="2993E1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4B01D8E0">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新技术应用咨询</w:t>
            </w:r>
          </w:p>
        </w:tc>
        <w:tc>
          <w:tcPr>
            <w:tcW w:w="1291" w:type="pct"/>
            <w:noWrap w:val="0"/>
            <w:vAlign w:val="center"/>
          </w:tcPr>
          <w:p w14:paraId="5C420E76">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建立健全新技术应用管理体系</w:t>
            </w:r>
          </w:p>
        </w:tc>
        <w:tc>
          <w:tcPr>
            <w:tcW w:w="1286" w:type="pct"/>
            <w:noWrap w:val="0"/>
            <w:vAlign w:val="center"/>
          </w:tcPr>
          <w:p w14:paraId="6B96A4F9">
            <w:pPr>
              <w:keepNext w:val="0"/>
              <w:keepLines w:val="0"/>
              <w:suppressLineNumbers w:val="0"/>
              <w:snapToGrid w:val="0"/>
              <w:spacing w:before="0" w:beforeAutospacing="0" w:after="0" w:afterAutospacing="0"/>
              <w:ind w:left="0" w:right="0"/>
              <w:rPr>
                <w:rFonts w:hint="default" w:ascii="宋体" w:hAnsi="宋体" w:cs="宋体"/>
                <w:color w:val="000000"/>
                <w:sz w:val="18"/>
                <w:szCs w:val="18"/>
              </w:rPr>
            </w:pPr>
            <w:r>
              <w:rPr>
                <w:rFonts w:hint="eastAsia" w:ascii="宋体" w:hAnsi="宋体" w:cs="宋体"/>
                <w:color w:val="000000"/>
                <w:sz w:val="18"/>
                <w:szCs w:val="18"/>
              </w:rPr>
              <w:t>1.编制新技术应用总体策划和实施细则</w:t>
            </w:r>
          </w:p>
          <w:p w14:paraId="694BF54F">
            <w:pPr>
              <w:keepNext w:val="0"/>
              <w:keepLines w:val="0"/>
              <w:suppressLineNumbers w:val="0"/>
              <w:snapToGrid w:val="0"/>
              <w:spacing w:before="0" w:beforeAutospacing="0" w:after="0" w:afterAutospacing="0"/>
              <w:ind w:left="0" w:right="0"/>
              <w:rPr>
                <w:rFonts w:hint="default" w:ascii="宋体" w:hAnsi="宋体" w:cs="宋体"/>
                <w:color w:val="000000"/>
                <w:sz w:val="18"/>
                <w:szCs w:val="18"/>
              </w:rPr>
            </w:pPr>
            <w:r>
              <w:rPr>
                <w:rFonts w:hint="eastAsia" w:ascii="宋体" w:hAnsi="宋体" w:cs="宋体"/>
                <w:color w:val="000000"/>
                <w:sz w:val="18"/>
                <w:szCs w:val="18"/>
              </w:rPr>
              <w:t>2.开展新技术应用和自主创新培训</w:t>
            </w:r>
          </w:p>
          <w:p w14:paraId="5B4329F3">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3.新技术论证</w:t>
            </w:r>
          </w:p>
        </w:tc>
        <w:tc>
          <w:tcPr>
            <w:tcW w:w="1347" w:type="pct"/>
            <w:noWrap w:val="0"/>
            <w:vAlign w:val="center"/>
          </w:tcPr>
          <w:p w14:paraId="1CA06B41">
            <w:pPr>
              <w:keepNext w:val="0"/>
              <w:keepLines w:val="0"/>
              <w:suppressLineNumbers w:val="0"/>
              <w:snapToGrid w:val="0"/>
              <w:spacing w:before="0" w:beforeAutospacing="0" w:after="0" w:afterAutospacing="0"/>
              <w:ind w:left="0" w:right="0"/>
              <w:rPr>
                <w:rFonts w:hint="default" w:ascii="宋体" w:hAnsi="宋体" w:cs="宋体"/>
                <w:color w:val="000000"/>
                <w:sz w:val="18"/>
                <w:szCs w:val="18"/>
              </w:rPr>
            </w:pPr>
            <w:r>
              <w:rPr>
                <w:rFonts w:hint="eastAsia" w:ascii="宋体" w:hAnsi="宋体" w:cs="宋体"/>
                <w:color w:val="000000"/>
                <w:sz w:val="18"/>
                <w:szCs w:val="18"/>
              </w:rPr>
              <w:t>1.开展新技术应用和自主创新培训</w:t>
            </w:r>
          </w:p>
          <w:p w14:paraId="773FCB2C">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2.新技术论证</w:t>
            </w:r>
          </w:p>
        </w:tc>
      </w:tr>
      <w:tr w14:paraId="49E363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3E7ADBD8">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质量评价</w:t>
            </w:r>
          </w:p>
        </w:tc>
        <w:tc>
          <w:tcPr>
            <w:tcW w:w="1291" w:type="pct"/>
            <w:noWrap w:val="0"/>
            <w:vAlign w:val="center"/>
          </w:tcPr>
          <w:p w14:paraId="569E0733">
            <w:pPr>
              <w:pStyle w:val="72"/>
              <w:keepNext w:val="0"/>
              <w:keepLines w:val="0"/>
              <w:suppressLineNumbers w:val="0"/>
              <w:snapToGrid w:val="0"/>
              <w:spacing w:before="0" w:beforeAutospacing="0" w:after="0" w:afterAutospacing="0"/>
              <w:ind w:left="0" w:right="0"/>
              <w:rPr>
                <w:rFonts w:hint="default"/>
                <w:color w:val="000000"/>
                <w:lang w:eastAsia="zh-CN"/>
              </w:rPr>
            </w:pPr>
            <w:r>
              <w:rPr>
                <w:rFonts w:hint="eastAsia"/>
                <w:color w:val="000000"/>
              </w:rPr>
              <w:t>-</w:t>
            </w:r>
          </w:p>
        </w:tc>
        <w:tc>
          <w:tcPr>
            <w:tcW w:w="1286" w:type="pct"/>
            <w:noWrap w:val="0"/>
            <w:vAlign w:val="center"/>
          </w:tcPr>
          <w:p w14:paraId="3BFB1B38">
            <w:pPr>
              <w:keepNext w:val="0"/>
              <w:keepLines w:val="0"/>
              <w:suppressLineNumbers w:val="0"/>
              <w:snapToGrid w:val="0"/>
              <w:spacing w:before="0" w:beforeAutospacing="0" w:after="0" w:afterAutospacing="0"/>
              <w:ind w:left="0" w:right="0"/>
              <w:rPr>
                <w:rFonts w:hint="default" w:ascii="宋体" w:hAnsi="宋体" w:cs="宋体"/>
                <w:color w:val="000000"/>
                <w:sz w:val="18"/>
                <w:szCs w:val="18"/>
              </w:rPr>
            </w:pPr>
            <w:r>
              <w:rPr>
                <w:rFonts w:hint="eastAsia" w:ascii="宋体" w:hAnsi="宋体" w:cs="宋体"/>
                <w:color w:val="000000"/>
                <w:sz w:val="18"/>
                <w:szCs w:val="18"/>
              </w:rPr>
              <w:t>1.质量评价标准培训</w:t>
            </w:r>
          </w:p>
          <w:p w14:paraId="644DCEE7">
            <w:pPr>
              <w:keepNext w:val="0"/>
              <w:keepLines w:val="0"/>
              <w:suppressLineNumbers w:val="0"/>
              <w:snapToGrid w:val="0"/>
              <w:spacing w:before="0" w:beforeAutospacing="0" w:after="0" w:afterAutospacing="0"/>
              <w:ind w:left="0" w:right="0"/>
              <w:rPr>
                <w:rFonts w:hint="default" w:ascii="宋体" w:hAnsi="宋体" w:cs="宋体"/>
                <w:color w:val="000000"/>
                <w:sz w:val="18"/>
                <w:szCs w:val="18"/>
              </w:rPr>
            </w:pPr>
            <w:r>
              <w:rPr>
                <w:rFonts w:hint="eastAsia" w:ascii="宋体" w:hAnsi="宋体" w:cs="宋体"/>
                <w:color w:val="000000"/>
                <w:sz w:val="18"/>
                <w:szCs w:val="18"/>
              </w:rPr>
              <w:t>2.质量评价工作策划</w:t>
            </w:r>
          </w:p>
        </w:tc>
        <w:tc>
          <w:tcPr>
            <w:tcW w:w="1347" w:type="pct"/>
            <w:noWrap w:val="0"/>
            <w:vAlign w:val="center"/>
          </w:tcPr>
          <w:p w14:paraId="44EF81CD">
            <w:pPr>
              <w:keepNext w:val="0"/>
              <w:keepLines w:val="0"/>
              <w:suppressLineNumbers w:val="0"/>
              <w:snapToGrid w:val="0"/>
              <w:spacing w:before="0" w:beforeAutospacing="0" w:after="0" w:afterAutospacing="0"/>
              <w:ind w:left="0" w:right="0"/>
              <w:rPr>
                <w:rFonts w:hint="default" w:ascii="宋体" w:hAnsi="宋体" w:cs="宋体"/>
                <w:color w:val="000000"/>
                <w:sz w:val="18"/>
                <w:szCs w:val="18"/>
              </w:rPr>
            </w:pPr>
            <w:r>
              <w:rPr>
                <w:rFonts w:hint="eastAsia" w:ascii="宋体" w:hAnsi="宋体" w:cs="宋体"/>
                <w:color w:val="000000"/>
                <w:sz w:val="18"/>
                <w:szCs w:val="18"/>
              </w:rPr>
              <w:t>1.工程部位（系统）质量评价</w:t>
            </w:r>
          </w:p>
          <w:p w14:paraId="637F4B1A">
            <w:pPr>
              <w:keepNext w:val="0"/>
              <w:keepLines w:val="0"/>
              <w:suppressLineNumbers w:val="0"/>
              <w:snapToGrid w:val="0"/>
              <w:spacing w:before="0" w:beforeAutospacing="0" w:after="0" w:afterAutospacing="0"/>
              <w:ind w:left="0" w:right="0"/>
              <w:rPr>
                <w:rFonts w:hint="default" w:ascii="宋体" w:hAnsi="宋体" w:cs="宋体"/>
                <w:color w:val="000000"/>
                <w:sz w:val="18"/>
                <w:szCs w:val="18"/>
              </w:rPr>
            </w:pPr>
            <w:r>
              <w:rPr>
                <w:rFonts w:hint="eastAsia" w:ascii="宋体" w:hAnsi="宋体" w:cs="宋体"/>
                <w:color w:val="000000"/>
                <w:sz w:val="18"/>
                <w:szCs w:val="18"/>
              </w:rPr>
              <w:t>2.专业工程质量评价</w:t>
            </w:r>
          </w:p>
        </w:tc>
      </w:tr>
      <w:tr w14:paraId="0CFC17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trHeight w:val="495" w:hRule="atLeast"/>
          <w:jc w:val="center"/>
        </w:trPr>
        <w:tc>
          <w:tcPr>
            <w:tcW w:w="1074" w:type="pct"/>
            <w:noWrap w:val="0"/>
            <w:vAlign w:val="center"/>
          </w:tcPr>
          <w:p w14:paraId="635D50B7">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项目后评价</w:t>
            </w:r>
          </w:p>
        </w:tc>
        <w:tc>
          <w:tcPr>
            <w:tcW w:w="1291" w:type="pct"/>
            <w:noWrap w:val="0"/>
            <w:vAlign w:val="center"/>
          </w:tcPr>
          <w:p w14:paraId="464C6129">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过程总结与评价</w:t>
            </w:r>
          </w:p>
        </w:tc>
        <w:tc>
          <w:tcPr>
            <w:tcW w:w="1286" w:type="pct"/>
            <w:noWrap w:val="0"/>
            <w:vAlign w:val="center"/>
          </w:tcPr>
          <w:p w14:paraId="64FA4A8E">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过程总结与评价</w:t>
            </w:r>
          </w:p>
        </w:tc>
        <w:tc>
          <w:tcPr>
            <w:tcW w:w="1347" w:type="pct"/>
            <w:noWrap w:val="0"/>
            <w:vAlign w:val="center"/>
          </w:tcPr>
          <w:p w14:paraId="00525B26">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过程总结与评价</w:t>
            </w:r>
          </w:p>
        </w:tc>
      </w:tr>
      <w:tr w14:paraId="0C529E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581291B2">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合规性手续申办咨询</w:t>
            </w:r>
          </w:p>
        </w:tc>
        <w:tc>
          <w:tcPr>
            <w:tcW w:w="1291" w:type="pct"/>
            <w:noWrap w:val="0"/>
            <w:vAlign w:val="center"/>
          </w:tcPr>
          <w:p w14:paraId="5826B09E">
            <w:pPr>
              <w:pStyle w:val="72"/>
              <w:keepNext w:val="0"/>
              <w:keepLines w:val="0"/>
              <w:suppressLineNumbers w:val="0"/>
              <w:snapToGrid w:val="0"/>
              <w:spacing w:before="0" w:beforeAutospacing="0" w:after="0" w:afterAutospacing="0"/>
              <w:ind w:left="0" w:right="0"/>
              <w:jc w:val="left"/>
              <w:rPr>
                <w:rFonts w:hint="default" w:ascii="宋体" w:hAnsi="宋体" w:eastAsia="宋体" w:cs="宋体"/>
                <w:color w:val="000000"/>
                <w:lang w:val="en-US" w:eastAsia="zh-CN"/>
              </w:rPr>
            </w:pPr>
            <w:r>
              <w:rPr>
                <w:rFonts w:hint="eastAsia" w:ascii="宋体" w:hAnsi="宋体" w:eastAsia="宋体" w:cs="宋体"/>
                <w:color w:val="000000"/>
                <w:lang w:val="en-US" w:eastAsia="zh-CN"/>
              </w:rPr>
              <w:t>1.</w:t>
            </w:r>
            <w:r>
              <w:rPr>
                <w:rFonts w:hint="eastAsia"/>
                <w:color w:val="000000"/>
                <w:lang w:val="en-US" w:eastAsia="zh-CN"/>
              </w:rPr>
              <w:t>编制</w:t>
            </w:r>
            <w:r>
              <w:rPr>
                <w:rFonts w:hint="eastAsia" w:ascii="宋体" w:hAnsi="宋体" w:eastAsia="宋体" w:cs="宋体"/>
                <w:color w:val="000000"/>
                <w:lang w:eastAsia="zh-CN"/>
              </w:rPr>
              <w:t>手续办理清单</w:t>
            </w:r>
            <w:r>
              <w:rPr>
                <w:rFonts w:hint="eastAsia" w:ascii="宋体" w:hAnsi="宋体" w:eastAsia="宋体" w:cs="宋体"/>
                <w:color w:val="000000"/>
                <w:lang w:val="en-US" w:eastAsia="zh-CN"/>
              </w:rPr>
              <w:t>和计划</w:t>
            </w:r>
          </w:p>
          <w:p w14:paraId="3A55EDB4">
            <w:pPr>
              <w:pStyle w:val="72"/>
              <w:keepNext w:val="0"/>
              <w:keepLines w:val="0"/>
              <w:widowControl w:val="0"/>
              <w:suppressLineNumbers w:val="0"/>
              <w:snapToGrid w:val="0"/>
              <w:spacing w:before="0" w:beforeAutospacing="0" w:after="0" w:afterAutospacing="0"/>
              <w:ind w:left="0" w:leftChars="0" w:right="0" w:firstLineChars="0"/>
              <w:jc w:val="left"/>
              <w:rPr>
                <w:rFonts w:hint="eastAsia" w:ascii="宋体" w:hAnsi="宋体" w:eastAsia="宋体" w:cs="宋体"/>
                <w:color w:val="000000"/>
                <w:szCs w:val="18"/>
                <w:lang w:eastAsia="zh-CN"/>
              </w:rPr>
            </w:pPr>
            <w:r>
              <w:rPr>
                <w:rFonts w:hint="eastAsia" w:ascii="宋体" w:hAnsi="宋体" w:eastAsia="宋体" w:cs="宋体"/>
                <w:color w:val="000000"/>
                <w:lang w:val="en-US" w:eastAsia="zh-CN"/>
              </w:rPr>
              <w:t>2.</w:t>
            </w:r>
            <w:r>
              <w:rPr>
                <w:rFonts w:hint="eastAsia" w:ascii="宋体" w:hAnsi="宋体" w:eastAsia="宋体" w:cs="宋体"/>
                <w:color w:val="000000"/>
                <w:szCs w:val="18"/>
                <w:lang w:eastAsia="zh-CN"/>
              </w:rPr>
              <w:t>项目备案 / 核准</w:t>
            </w:r>
          </w:p>
          <w:p w14:paraId="7EAE4738">
            <w:pPr>
              <w:pStyle w:val="72"/>
              <w:keepNext w:val="0"/>
              <w:keepLines w:val="0"/>
              <w:widowControl w:val="0"/>
              <w:suppressLineNumbers w:val="0"/>
              <w:snapToGrid w:val="0"/>
              <w:spacing w:before="0" w:beforeAutospacing="0" w:after="0" w:afterAutospacing="0"/>
              <w:ind w:left="0" w:leftChars="0" w:right="0" w:firstLineChars="0"/>
              <w:jc w:val="left"/>
              <w:rPr>
                <w:rFonts w:hint="eastAsia" w:ascii="宋体" w:hAnsi="宋体" w:eastAsia="宋体" w:cs="宋体"/>
                <w:color w:val="000000"/>
                <w:szCs w:val="18"/>
                <w:lang w:eastAsia="zh-CN"/>
              </w:rPr>
            </w:pPr>
            <w:r>
              <w:rPr>
                <w:rFonts w:hint="eastAsia" w:ascii="宋体" w:hAnsi="宋体" w:eastAsia="宋体" w:cs="宋体"/>
                <w:color w:val="000000"/>
                <w:szCs w:val="18"/>
                <w:lang w:val="en-US" w:eastAsia="zh-CN"/>
              </w:rPr>
              <w:t>3.</w:t>
            </w:r>
            <w:r>
              <w:rPr>
                <w:rFonts w:hint="eastAsia" w:ascii="宋体" w:hAnsi="宋体" w:eastAsia="宋体" w:cs="宋体"/>
                <w:color w:val="000000"/>
                <w:szCs w:val="18"/>
                <w:lang w:eastAsia="zh-CN"/>
              </w:rPr>
              <w:t>环境影响评价</w:t>
            </w:r>
          </w:p>
          <w:p w14:paraId="4F13DFC6">
            <w:pPr>
              <w:pStyle w:val="72"/>
              <w:keepNext w:val="0"/>
              <w:keepLines w:val="0"/>
              <w:widowControl w:val="0"/>
              <w:suppressLineNumbers w:val="0"/>
              <w:snapToGrid w:val="0"/>
              <w:spacing w:before="0" w:beforeAutospacing="0" w:after="0" w:afterAutospacing="0"/>
              <w:ind w:left="0" w:leftChars="0" w:right="0" w:firstLineChars="0"/>
              <w:jc w:val="left"/>
              <w:rPr>
                <w:rFonts w:hint="eastAsia" w:ascii="宋体" w:hAnsi="宋体" w:eastAsia="宋体" w:cs="宋体"/>
                <w:color w:val="000000"/>
                <w:szCs w:val="18"/>
                <w:vertAlign w:val="baseline"/>
                <w:lang w:eastAsia="zh-CN"/>
              </w:rPr>
            </w:pPr>
            <w:r>
              <w:rPr>
                <w:rFonts w:hint="eastAsia" w:ascii="宋体" w:hAnsi="宋体" w:eastAsia="宋体" w:cs="宋体"/>
                <w:color w:val="000000"/>
                <w:szCs w:val="18"/>
                <w:vertAlign w:val="baseline"/>
                <w:lang w:val="en-US" w:eastAsia="zh-CN"/>
              </w:rPr>
              <w:t>4.</w:t>
            </w:r>
            <w:r>
              <w:rPr>
                <w:rFonts w:hint="eastAsia" w:ascii="宋体" w:hAnsi="宋体" w:eastAsia="宋体" w:cs="宋体"/>
                <w:color w:val="000000"/>
                <w:szCs w:val="18"/>
                <w:vertAlign w:val="baseline"/>
                <w:lang w:eastAsia="zh-CN"/>
              </w:rPr>
              <w:t>压覆重要矿产资源评估</w:t>
            </w:r>
          </w:p>
          <w:p w14:paraId="4826BEA1">
            <w:pPr>
              <w:pStyle w:val="72"/>
              <w:keepNext w:val="0"/>
              <w:keepLines w:val="0"/>
              <w:widowControl w:val="0"/>
              <w:suppressLineNumbers w:val="0"/>
              <w:snapToGrid w:val="0"/>
              <w:spacing w:before="0" w:beforeAutospacing="0" w:after="0" w:afterAutospacing="0"/>
              <w:ind w:left="0" w:leftChars="0" w:right="0" w:firstLineChars="0"/>
              <w:jc w:val="left"/>
              <w:rPr>
                <w:rFonts w:hint="eastAsia" w:ascii="宋体" w:hAnsi="宋体" w:eastAsia="宋体" w:cs="宋体"/>
                <w:color w:val="000000"/>
                <w:szCs w:val="18"/>
                <w:vertAlign w:val="baseline"/>
                <w:lang w:eastAsia="zh-CN"/>
              </w:rPr>
            </w:pPr>
            <w:r>
              <w:rPr>
                <w:rFonts w:hint="eastAsia" w:ascii="宋体" w:hAnsi="宋体" w:eastAsia="宋体" w:cs="宋体"/>
                <w:color w:val="000000"/>
                <w:szCs w:val="18"/>
                <w:vertAlign w:val="baseline"/>
                <w:lang w:val="en-US" w:eastAsia="zh-CN"/>
              </w:rPr>
              <w:t>5.</w:t>
            </w:r>
            <w:r>
              <w:rPr>
                <w:rFonts w:hint="eastAsia" w:ascii="宋体" w:hAnsi="宋体" w:eastAsia="宋体" w:cs="宋体"/>
                <w:color w:val="000000"/>
                <w:szCs w:val="18"/>
                <w:vertAlign w:val="baseline"/>
                <w:lang w:eastAsia="zh-CN"/>
              </w:rPr>
              <w:t>地质灾害危险性评估</w:t>
            </w:r>
          </w:p>
          <w:p w14:paraId="12FEC0B2">
            <w:pPr>
              <w:pStyle w:val="72"/>
              <w:keepNext w:val="0"/>
              <w:keepLines w:val="0"/>
              <w:widowControl w:val="0"/>
              <w:suppressLineNumbers w:val="0"/>
              <w:snapToGrid w:val="0"/>
              <w:spacing w:before="0" w:beforeAutospacing="0" w:after="0" w:afterAutospacing="0"/>
              <w:ind w:left="0" w:leftChars="0" w:right="0" w:firstLineChars="0"/>
              <w:jc w:val="left"/>
              <w:rPr>
                <w:rFonts w:hint="eastAsia" w:ascii="宋体" w:hAnsi="宋体" w:eastAsia="宋体" w:cs="宋体"/>
                <w:color w:val="000000"/>
                <w:szCs w:val="18"/>
                <w:vertAlign w:val="baseline"/>
                <w:lang w:eastAsia="zh-CN"/>
              </w:rPr>
            </w:pPr>
            <w:r>
              <w:rPr>
                <w:rFonts w:hint="eastAsia" w:ascii="宋体" w:hAnsi="宋体" w:eastAsia="宋体" w:cs="宋体"/>
                <w:color w:val="000000"/>
                <w:szCs w:val="18"/>
                <w:lang w:val="en-US" w:eastAsia="zh-CN"/>
              </w:rPr>
              <w:t>6.</w:t>
            </w:r>
            <w:r>
              <w:rPr>
                <w:rFonts w:hint="eastAsia" w:ascii="宋体" w:hAnsi="宋体" w:eastAsia="宋体" w:cs="宋体"/>
                <w:color w:val="000000"/>
                <w:szCs w:val="18"/>
                <w:lang w:eastAsia="zh-CN"/>
              </w:rPr>
              <w:t>电网接入系统设计审查</w:t>
            </w:r>
          </w:p>
          <w:p w14:paraId="34CB334C">
            <w:pPr>
              <w:pStyle w:val="72"/>
              <w:keepNext w:val="0"/>
              <w:keepLines w:val="0"/>
              <w:suppressLineNumbers w:val="0"/>
              <w:snapToGrid w:val="0"/>
              <w:spacing w:before="0" w:beforeAutospacing="0" w:after="0" w:afterAutospacing="0"/>
              <w:ind w:left="0" w:right="0"/>
              <w:jc w:val="left"/>
              <w:rPr>
                <w:rFonts w:hint="eastAsia" w:ascii="宋体" w:hAnsi="宋体" w:eastAsia="宋体" w:cs="宋体"/>
                <w:color w:val="000000"/>
                <w:szCs w:val="18"/>
                <w:lang w:eastAsia="zh-CN"/>
              </w:rPr>
            </w:pPr>
            <w:r>
              <w:rPr>
                <w:rFonts w:hint="eastAsia" w:ascii="宋体" w:hAnsi="宋体" w:eastAsia="宋体" w:cs="宋体"/>
                <w:color w:val="000000"/>
                <w:szCs w:val="18"/>
                <w:lang w:val="en-US" w:eastAsia="zh-CN"/>
              </w:rPr>
              <w:t>7.</w:t>
            </w:r>
            <w:r>
              <w:rPr>
                <w:rFonts w:hint="eastAsia"/>
                <w:color w:val="000000"/>
                <w:szCs w:val="18"/>
                <w:lang w:eastAsia="zh-CN"/>
              </w:rPr>
              <w:t>社会稳定风险评估</w:t>
            </w:r>
          </w:p>
          <w:p w14:paraId="2713080E">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lang w:val="en-US" w:eastAsia="zh-CN"/>
              </w:rPr>
            </w:pPr>
            <w:r>
              <w:rPr>
                <w:rFonts w:hint="eastAsia" w:ascii="宋体" w:hAnsi="宋体" w:eastAsia="宋体" w:cs="宋体"/>
                <w:color w:val="000000"/>
                <w:lang w:val="en-US" w:eastAsia="zh-CN"/>
              </w:rPr>
              <w:t>海上光伏项目：</w:t>
            </w:r>
          </w:p>
          <w:p w14:paraId="5425AE7B">
            <w:pPr>
              <w:pStyle w:val="72"/>
              <w:keepNext w:val="0"/>
              <w:keepLines w:val="0"/>
              <w:numPr>
                <w:ilvl w:val="0"/>
                <w:numId w:val="93"/>
              </w:numPr>
              <w:suppressLineNumbers w:val="0"/>
              <w:snapToGrid w:val="0"/>
              <w:spacing w:before="0" w:beforeAutospacing="0" w:after="0" w:afterAutospacing="0"/>
              <w:ind w:left="0" w:leftChars="0" w:right="0" w:firstLineChars="0"/>
              <w:jc w:val="left"/>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海底电缆路由调查勘测许可</w:t>
            </w:r>
          </w:p>
          <w:p w14:paraId="7C68DF70">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lang w:eastAsia="zh-CN"/>
              </w:rPr>
            </w:pPr>
            <w:r>
              <w:rPr>
                <w:rFonts w:hint="eastAsia" w:ascii="宋体" w:hAnsi="宋体" w:eastAsia="宋体" w:cs="宋体"/>
                <w:color w:val="000000"/>
                <w:sz w:val="18"/>
                <w:szCs w:val="18"/>
                <w:lang w:val="en-US" w:eastAsia="zh-CN"/>
              </w:rPr>
              <w:t>2.</w:t>
            </w:r>
            <w:r>
              <w:rPr>
                <w:rFonts w:hint="eastAsia" w:ascii="宋体" w:hAnsi="宋体" w:eastAsia="宋体" w:cs="宋体"/>
                <w:color w:val="000000"/>
                <w:lang w:val="en-US" w:eastAsia="zh-CN"/>
              </w:rPr>
              <w:t>海域使用论证</w:t>
            </w:r>
          </w:p>
          <w:p w14:paraId="6269D41B">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lang w:eastAsia="zh-CN"/>
              </w:rPr>
            </w:pPr>
            <w:r>
              <w:rPr>
                <w:rFonts w:hint="eastAsia" w:ascii="宋体" w:hAnsi="宋体" w:eastAsia="宋体" w:cs="宋体"/>
                <w:color w:val="000000"/>
                <w:lang w:val="en-US" w:eastAsia="zh-CN"/>
              </w:rPr>
              <w:t>3.</w:t>
            </w:r>
            <w:r>
              <w:rPr>
                <w:rFonts w:hint="eastAsia" w:ascii="宋体" w:hAnsi="宋体" w:eastAsia="宋体" w:cs="宋体"/>
                <w:color w:val="000000"/>
                <w:lang w:eastAsia="zh-CN"/>
              </w:rPr>
              <w:t>海域使用审批</w:t>
            </w:r>
          </w:p>
          <w:p w14:paraId="6EC1701E">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lang w:eastAsia="zh-CN"/>
              </w:rPr>
            </w:pPr>
            <w:r>
              <w:rPr>
                <w:rFonts w:hint="eastAsia" w:ascii="宋体" w:hAnsi="宋体" w:eastAsia="宋体" w:cs="宋体"/>
                <w:color w:val="000000"/>
                <w:lang w:val="en-US" w:eastAsia="zh-CN"/>
              </w:rPr>
              <w:t>4.</w:t>
            </w:r>
            <w:r>
              <w:rPr>
                <w:rFonts w:hint="eastAsia" w:ascii="宋体" w:hAnsi="宋体" w:eastAsia="宋体" w:cs="宋体"/>
                <w:color w:val="000000"/>
                <w:lang w:eastAsia="zh-CN"/>
              </w:rPr>
              <w:t>海洋环评</w:t>
            </w:r>
          </w:p>
          <w:p w14:paraId="12E1ABD6">
            <w:pPr>
              <w:pStyle w:val="72"/>
              <w:keepNext w:val="0"/>
              <w:keepLines w:val="0"/>
              <w:suppressLineNumbers w:val="0"/>
              <w:snapToGrid w:val="0"/>
              <w:spacing w:before="0" w:beforeAutospacing="0" w:after="0" w:afterAutospacing="0"/>
              <w:ind w:left="0" w:right="0"/>
              <w:jc w:val="both"/>
              <w:rPr>
                <w:rFonts w:hint="eastAsia" w:ascii="宋体" w:hAnsi="宋体" w:eastAsia="宋体" w:cs="宋体"/>
                <w:color w:val="000000"/>
                <w:sz w:val="18"/>
                <w:szCs w:val="18"/>
                <w:lang w:val="en-US" w:eastAsia="zh-CN"/>
              </w:rPr>
            </w:pPr>
            <w:r>
              <w:rPr>
                <w:rFonts w:hint="eastAsia" w:ascii="宋体" w:hAnsi="宋体" w:eastAsia="宋体" w:cs="宋体"/>
                <w:color w:val="000000"/>
                <w:lang w:val="en-US" w:eastAsia="zh-CN"/>
              </w:rPr>
              <w:t>5.</w:t>
            </w:r>
            <w:r>
              <w:rPr>
                <w:rFonts w:hint="eastAsia" w:ascii="宋体" w:hAnsi="宋体" w:eastAsia="宋体" w:cs="宋体"/>
                <w:color w:val="000000"/>
                <w:lang w:eastAsia="zh-CN"/>
              </w:rPr>
              <w:t>渔业资源评</w:t>
            </w:r>
          </w:p>
          <w:p w14:paraId="06954486">
            <w:pPr>
              <w:pStyle w:val="72"/>
              <w:keepNext w:val="0"/>
              <w:keepLines w:val="0"/>
              <w:suppressLineNumbers w:val="0"/>
              <w:snapToGrid w:val="0"/>
              <w:spacing w:before="0" w:beforeAutospacing="0" w:after="0" w:afterAutospacing="0"/>
              <w:ind w:left="0" w:right="0"/>
              <w:jc w:val="both"/>
              <w:rPr>
                <w:rFonts w:hint="eastAsia" w:ascii="宋体" w:hAnsi="宋体" w:eastAsia="宋体" w:cs="宋体"/>
                <w:color w:val="000000"/>
                <w:lang w:eastAsia="zh-CN"/>
              </w:rPr>
            </w:pPr>
            <w:r>
              <w:rPr>
                <w:rFonts w:hint="eastAsia" w:ascii="宋体" w:hAnsi="宋体" w:eastAsia="宋体" w:cs="宋体"/>
                <w:color w:val="000000"/>
                <w:lang w:val="en-US" w:eastAsia="zh-CN"/>
              </w:rPr>
              <w:t>6.</w:t>
            </w:r>
            <w:r>
              <w:rPr>
                <w:rFonts w:hint="eastAsia" w:ascii="宋体" w:hAnsi="宋体" w:eastAsia="宋体" w:cs="宋体"/>
                <w:color w:val="000000"/>
                <w:lang w:eastAsia="zh-CN"/>
              </w:rPr>
              <w:t>通航安全评估</w:t>
            </w:r>
          </w:p>
          <w:p w14:paraId="0BD7F9A7">
            <w:pPr>
              <w:pStyle w:val="72"/>
              <w:keepNext w:val="0"/>
              <w:keepLines w:val="0"/>
              <w:suppressLineNumbers w:val="0"/>
              <w:snapToGrid w:val="0"/>
              <w:spacing w:before="0" w:beforeAutospacing="0" w:after="0" w:afterAutospacing="0"/>
              <w:ind w:left="0" w:right="0"/>
              <w:jc w:val="left"/>
              <w:rPr>
                <w:rFonts w:hint="default"/>
                <w:color w:val="000000"/>
                <w:lang w:eastAsia="zh-CN"/>
              </w:rPr>
            </w:pPr>
          </w:p>
        </w:tc>
        <w:tc>
          <w:tcPr>
            <w:tcW w:w="1286" w:type="pct"/>
            <w:noWrap w:val="0"/>
            <w:vAlign w:val="center"/>
          </w:tcPr>
          <w:p w14:paraId="3E5F4F8C">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rPr>
              <w:t>建设用地规划许可证</w:t>
            </w:r>
          </w:p>
          <w:p w14:paraId="056180E6">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lang w:val="en-US" w:eastAsia="zh-CN"/>
              </w:rPr>
              <w:t>土地使用手续</w:t>
            </w:r>
          </w:p>
          <w:p w14:paraId="4F5151D2">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建设工程规划许可证</w:t>
            </w:r>
          </w:p>
          <w:p w14:paraId="72AB9623">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施工许可证</w:t>
            </w:r>
          </w:p>
          <w:p w14:paraId="0893DEAE">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质量监督注册手续</w:t>
            </w:r>
          </w:p>
          <w:p w14:paraId="62B3675E">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消防</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防雷</w:t>
            </w:r>
            <w:r>
              <w:rPr>
                <w:rFonts w:hint="eastAsia" w:ascii="宋体" w:hAnsi="宋体" w:eastAsia="宋体" w:cs="宋体"/>
                <w:color w:val="000000"/>
                <w:sz w:val="18"/>
                <w:szCs w:val="18"/>
              </w:rPr>
              <w:t>设计审查</w:t>
            </w:r>
          </w:p>
          <w:p w14:paraId="1BFEC1E7">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水土保持方案审批</w:t>
            </w:r>
          </w:p>
          <w:p w14:paraId="32686D05">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文物保护</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林地使用</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草原使用</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rPr>
              <w:t>军事设施保护手续</w:t>
            </w:r>
          </w:p>
          <w:p w14:paraId="301856EB">
            <w:pPr>
              <w:pStyle w:val="72"/>
              <w:keepNext w:val="0"/>
              <w:keepLines w:val="0"/>
              <w:suppressLineNumbers w:val="0"/>
              <w:snapToGrid w:val="0"/>
              <w:spacing w:before="0" w:beforeAutospacing="0" w:after="0" w:afterAutospacing="0"/>
              <w:ind w:left="0" w:right="0"/>
              <w:jc w:val="both"/>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9.</w:t>
            </w:r>
            <w:r>
              <w:rPr>
                <w:rFonts w:hint="eastAsia"/>
                <w:color w:val="000000"/>
              </w:rPr>
              <w:t>不动产权登记</w:t>
            </w:r>
          </w:p>
          <w:p w14:paraId="76FC4EE5">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lang w:val="en-US" w:eastAsia="zh-CN"/>
              </w:rPr>
            </w:pPr>
            <w:r>
              <w:rPr>
                <w:rFonts w:hint="eastAsia" w:ascii="宋体" w:hAnsi="宋体" w:eastAsia="宋体" w:cs="宋体"/>
                <w:color w:val="000000"/>
                <w:lang w:val="en-US" w:eastAsia="zh-CN"/>
              </w:rPr>
              <w:t>海上光伏项目：</w:t>
            </w:r>
          </w:p>
          <w:p w14:paraId="590E7E6B">
            <w:pPr>
              <w:pStyle w:val="72"/>
              <w:keepNext w:val="0"/>
              <w:keepLines w:val="0"/>
              <w:suppressLineNumbers w:val="0"/>
              <w:snapToGrid w:val="0"/>
              <w:spacing w:before="0" w:beforeAutospacing="0" w:after="0" w:afterAutospacing="0"/>
              <w:ind w:left="0" w:right="0"/>
              <w:jc w:val="both"/>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val="en-US" w:eastAsia="zh-CN"/>
              </w:rPr>
              <w:t>1.</w:t>
            </w:r>
            <w:r>
              <w:rPr>
                <w:rFonts w:hint="eastAsia"/>
                <w:color w:val="000000"/>
                <w:lang w:eastAsia="zh-CN"/>
              </w:rPr>
              <w:t>水上水下施工作业许可</w:t>
            </w:r>
          </w:p>
          <w:p w14:paraId="3F4248EB">
            <w:pPr>
              <w:pStyle w:val="72"/>
              <w:keepNext w:val="0"/>
              <w:keepLines w:val="0"/>
              <w:suppressLineNumbers w:val="0"/>
              <w:snapToGrid w:val="0"/>
              <w:spacing w:before="0" w:beforeAutospacing="0" w:after="0" w:afterAutospacing="0"/>
              <w:ind w:left="0" w:right="0"/>
              <w:jc w:val="both"/>
              <w:rPr>
                <w:rFonts w:hint="default"/>
                <w:color w:val="000000"/>
                <w:lang w:eastAsia="zh-CN"/>
              </w:rPr>
            </w:pPr>
            <w:r>
              <w:rPr>
                <w:rFonts w:hint="eastAsia" w:ascii="宋体" w:hAnsi="宋体" w:eastAsia="宋体" w:cs="宋体"/>
                <w:color w:val="000000"/>
                <w:sz w:val="18"/>
                <w:szCs w:val="18"/>
                <w:lang w:val="en-US" w:eastAsia="zh-CN"/>
              </w:rPr>
              <w:t>2.</w:t>
            </w:r>
            <w:r>
              <w:rPr>
                <w:rFonts w:hint="default"/>
                <w:color w:val="000000"/>
              </w:rPr>
              <w:t>航标设置许可</w:t>
            </w:r>
          </w:p>
          <w:p w14:paraId="54F966A6">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ascii="宋体" w:hAnsi="宋体" w:eastAsia="宋体" w:cs="宋体"/>
                <w:color w:val="000000"/>
                <w:lang w:val="en-US" w:eastAsia="zh-CN"/>
              </w:rPr>
              <w:t>3.</w:t>
            </w:r>
            <w:r>
              <w:rPr>
                <w:rFonts w:hint="eastAsia" w:ascii="宋体" w:hAnsi="宋体" w:eastAsia="宋体" w:cs="宋体"/>
                <w:color w:val="000000"/>
                <w:lang w:eastAsia="zh-CN"/>
              </w:rPr>
              <w:t>海洋倾废许可</w:t>
            </w:r>
          </w:p>
        </w:tc>
        <w:tc>
          <w:tcPr>
            <w:tcW w:w="1347" w:type="pct"/>
            <w:noWrap w:val="0"/>
            <w:vAlign w:val="center"/>
          </w:tcPr>
          <w:p w14:paraId="74897546">
            <w:pPr>
              <w:keepNext w:val="0"/>
              <w:keepLines w:val="0"/>
              <w:suppressLineNumbers w:val="0"/>
              <w:snapToGrid w:val="0"/>
              <w:spacing w:before="0" w:beforeAutospacing="0" w:after="0" w:afterAutospacing="0"/>
              <w:ind w:left="0" w:leftChars="0" w:right="0" w:firstLineChars="0"/>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rPr>
              <w:t>并网许可</w:t>
            </w:r>
          </w:p>
          <w:p w14:paraId="1488CD98">
            <w:pPr>
              <w:keepNext w:val="0"/>
              <w:keepLines w:val="0"/>
              <w:suppressLineNumbers w:val="0"/>
              <w:snapToGrid w:val="0"/>
              <w:spacing w:before="0" w:beforeAutospacing="0" w:after="0" w:afterAutospacing="0"/>
              <w:ind w:left="0" w:leftChars="0" w:right="0" w:firstLineChars="0"/>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2.</w:t>
            </w:r>
            <w:r>
              <w:rPr>
                <w:rFonts w:hint="eastAsia" w:ascii="宋体" w:hAnsi="宋体" w:eastAsia="宋体" w:cs="宋体"/>
                <w:color w:val="000000"/>
                <w:sz w:val="18"/>
                <w:szCs w:val="18"/>
              </w:rPr>
              <w:t>电力业务许可证</w:t>
            </w:r>
          </w:p>
          <w:p w14:paraId="0C7C668B">
            <w:pPr>
              <w:keepNext w:val="0"/>
              <w:keepLines w:val="0"/>
              <w:suppressLineNumbers w:val="0"/>
              <w:snapToGrid w:val="0"/>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购售电合同和并网调度协议</w:t>
            </w:r>
          </w:p>
          <w:p w14:paraId="6C1A6E5B">
            <w:pPr>
              <w:keepNext w:val="0"/>
              <w:keepLines w:val="0"/>
              <w:suppressLineNumbers w:val="0"/>
              <w:snapToGrid w:val="0"/>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4.</w:t>
            </w:r>
            <w:r>
              <w:rPr>
                <w:rFonts w:hint="eastAsia" w:ascii="宋体" w:hAnsi="宋体" w:eastAsia="宋体" w:cs="宋体"/>
                <w:color w:val="000000"/>
                <w:sz w:val="18"/>
                <w:szCs w:val="18"/>
              </w:rPr>
              <w:t>工程竣工验收</w:t>
            </w:r>
          </w:p>
          <w:p w14:paraId="64EC6CFA">
            <w:pPr>
              <w:keepNext w:val="0"/>
              <w:keepLines w:val="0"/>
              <w:suppressLineNumbers w:val="0"/>
              <w:snapToGrid w:val="0"/>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5.</w:t>
            </w:r>
            <w:r>
              <w:rPr>
                <w:rFonts w:hint="eastAsia" w:ascii="宋体" w:hAnsi="宋体" w:eastAsia="宋体" w:cs="宋体"/>
                <w:color w:val="000000"/>
                <w:sz w:val="18"/>
                <w:szCs w:val="18"/>
              </w:rPr>
              <w:t>环保验收</w:t>
            </w:r>
          </w:p>
          <w:p w14:paraId="06B0288D">
            <w:pPr>
              <w:keepNext w:val="0"/>
              <w:keepLines w:val="0"/>
              <w:suppressLineNumbers w:val="0"/>
              <w:snapToGrid w:val="0"/>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6.</w:t>
            </w:r>
            <w:r>
              <w:rPr>
                <w:rFonts w:hint="eastAsia" w:ascii="宋体" w:hAnsi="宋体" w:eastAsia="宋体" w:cs="宋体"/>
                <w:color w:val="000000"/>
                <w:sz w:val="18"/>
                <w:szCs w:val="18"/>
              </w:rPr>
              <w:t>水土保持设施验收</w:t>
            </w:r>
          </w:p>
          <w:p w14:paraId="32A8BD18">
            <w:pPr>
              <w:keepNext w:val="0"/>
              <w:keepLines w:val="0"/>
              <w:suppressLineNumbers w:val="0"/>
              <w:snapToGrid w:val="0"/>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7.</w:t>
            </w:r>
            <w:r>
              <w:rPr>
                <w:rFonts w:hint="eastAsia" w:ascii="宋体" w:hAnsi="宋体" w:eastAsia="宋体" w:cs="宋体"/>
                <w:color w:val="000000"/>
                <w:sz w:val="18"/>
                <w:szCs w:val="18"/>
              </w:rPr>
              <w:t>安全设施验收</w:t>
            </w:r>
          </w:p>
          <w:p w14:paraId="0BA474C5">
            <w:pPr>
              <w:keepNext w:val="0"/>
              <w:keepLines w:val="0"/>
              <w:suppressLineNumbers w:val="0"/>
              <w:snapToGrid w:val="0"/>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val="en-US" w:eastAsia="zh-CN"/>
              </w:rPr>
              <w:t>8.</w:t>
            </w:r>
            <w:r>
              <w:rPr>
                <w:rFonts w:hint="eastAsia" w:ascii="宋体" w:hAnsi="宋体" w:eastAsia="宋体" w:cs="宋体"/>
                <w:color w:val="000000"/>
                <w:sz w:val="18"/>
                <w:szCs w:val="18"/>
              </w:rPr>
              <w:t>档案验收</w:t>
            </w:r>
          </w:p>
          <w:p w14:paraId="62F86EB0">
            <w:pPr>
              <w:pStyle w:val="72"/>
              <w:keepNext w:val="0"/>
              <w:keepLines w:val="0"/>
              <w:suppressLineNumbers w:val="0"/>
              <w:snapToGrid w:val="0"/>
              <w:spacing w:before="0" w:beforeAutospacing="0" w:after="0" w:afterAutospacing="0"/>
              <w:ind w:left="0" w:leftChars="0" w:right="0" w:firstLineChars="0"/>
              <w:jc w:val="left"/>
              <w:rPr>
                <w:rFonts w:hint="eastAsia" w:ascii="宋体" w:hAnsi="宋体" w:eastAsia="宋体" w:cs="宋体"/>
                <w:color w:val="000000"/>
                <w:lang w:val="en-US" w:eastAsia="zh-CN"/>
              </w:rPr>
            </w:pPr>
            <w:r>
              <w:rPr>
                <w:rFonts w:hint="eastAsia" w:ascii="宋体" w:hAnsi="宋体" w:eastAsia="宋体" w:cs="宋体"/>
                <w:color w:val="000000"/>
                <w:lang w:val="en-US" w:eastAsia="zh-CN"/>
              </w:rPr>
              <w:t>海上光伏项目：</w:t>
            </w:r>
          </w:p>
          <w:p w14:paraId="38A40805">
            <w:pPr>
              <w:keepNext w:val="0"/>
              <w:keepLines w:val="0"/>
              <w:suppressLineNumbers w:val="0"/>
              <w:snapToGrid w:val="0"/>
              <w:spacing w:before="0" w:beforeAutospacing="0" w:after="0" w:afterAutospacing="0"/>
              <w:ind w:left="0" w:right="0"/>
              <w:rPr>
                <w:rFonts w:hint="default" w:cs="Times New Roman"/>
                <w:color w:val="000000"/>
                <w:lang w:eastAsia="zh-CN"/>
              </w:rPr>
            </w:pPr>
            <w:r>
              <w:rPr>
                <w:rFonts w:hint="eastAsia" w:ascii="宋体" w:hAnsi="宋体" w:eastAsia="宋体" w:cs="宋体"/>
                <w:color w:val="000000"/>
                <w:sz w:val="18"/>
                <w:szCs w:val="18"/>
                <w:lang w:val="en-US" w:eastAsia="zh-CN"/>
              </w:rPr>
              <w:t>1.</w:t>
            </w:r>
            <w:r>
              <w:rPr>
                <w:rFonts w:hint="eastAsia" w:ascii="宋体" w:hAnsi="宋体" w:eastAsia="宋体" w:cs="宋体"/>
                <w:color w:val="000000"/>
                <w:sz w:val="18"/>
                <w:szCs w:val="18"/>
                <w:lang w:eastAsia="zh-CN"/>
              </w:rPr>
              <w:t>通航安全参数备案</w:t>
            </w:r>
          </w:p>
        </w:tc>
      </w:tr>
      <w:tr w14:paraId="7353D6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4CD019EB">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rPr>
            </w:pPr>
            <w:r>
              <w:rPr>
                <w:rFonts w:hint="eastAsia" w:hAnsi="Times New Roman" w:cs="Times New Roman"/>
                <w:color w:val="000000"/>
                <w:szCs w:val="20"/>
              </w:rPr>
              <w:t>运行维护咨询</w:t>
            </w:r>
          </w:p>
        </w:tc>
        <w:tc>
          <w:tcPr>
            <w:tcW w:w="1291" w:type="pct"/>
            <w:noWrap w:val="0"/>
            <w:vAlign w:val="center"/>
          </w:tcPr>
          <w:p w14:paraId="23141D9B">
            <w:pPr>
              <w:pStyle w:val="72"/>
              <w:keepNext w:val="0"/>
              <w:keepLines w:val="0"/>
              <w:suppressLineNumbers w:val="0"/>
              <w:snapToGrid w:val="0"/>
              <w:spacing w:before="0" w:beforeAutospacing="0" w:after="0" w:afterAutospacing="0"/>
              <w:ind w:left="0" w:right="0"/>
              <w:rPr>
                <w:rFonts w:hint="default"/>
                <w:color w:val="000000"/>
                <w:lang w:eastAsia="zh-CN"/>
              </w:rPr>
            </w:pPr>
            <w:r>
              <w:rPr>
                <w:rFonts w:hint="eastAsia"/>
                <w:color w:val="000000"/>
                <w:lang w:eastAsia="zh-CN"/>
              </w:rPr>
              <w:t>-</w:t>
            </w:r>
          </w:p>
        </w:tc>
        <w:tc>
          <w:tcPr>
            <w:tcW w:w="1286" w:type="pct"/>
            <w:noWrap w:val="0"/>
            <w:vAlign w:val="center"/>
          </w:tcPr>
          <w:p w14:paraId="0DAED3D8">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1</w:t>
            </w:r>
            <w:r>
              <w:rPr>
                <w:rFonts w:hint="default"/>
                <w:color w:val="000000"/>
                <w:lang w:eastAsia="zh-CN"/>
              </w:rPr>
              <w:t>.</w:t>
            </w:r>
            <w:r>
              <w:rPr>
                <w:rFonts w:hint="eastAsia"/>
                <w:color w:val="000000"/>
              </w:rPr>
              <w:t>编制运行维护咨询实施细则</w:t>
            </w:r>
            <w:r>
              <w:rPr>
                <w:rFonts w:hint="eastAsia"/>
                <w:color w:val="000000"/>
                <w:lang w:val="en-US" w:eastAsia="zh-CN"/>
              </w:rPr>
              <w:t>2</w:t>
            </w:r>
            <w:r>
              <w:rPr>
                <w:rFonts w:hint="default"/>
                <w:color w:val="000000"/>
                <w:lang w:eastAsia="zh-CN"/>
              </w:rPr>
              <w:t>.</w:t>
            </w:r>
            <w:r>
              <w:rPr>
                <w:rFonts w:hint="eastAsia"/>
                <w:color w:val="000000"/>
              </w:rPr>
              <w:t>设计文件评审</w:t>
            </w:r>
          </w:p>
        </w:tc>
        <w:tc>
          <w:tcPr>
            <w:tcW w:w="1347" w:type="pct"/>
            <w:noWrap w:val="0"/>
            <w:vAlign w:val="center"/>
          </w:tcPr>
          <w:p w14:paraId="1445434E">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1</w:t>
            </w:r>
            <w:r>
              <w:rPr>
                <w:rFonts w:hint="default"/>
                <w:color w:val="000000"/>
                <w:lang w:eastAsia="zh-CN"/>
              </w:rPr>
              <w:t>.</w:t>
            </w:r>
            <w:r>
              <w:rPr>
                <w:rFonts w:hint="eastAsia"/>
                <w:color w:val="000000"/>
                <w:lang w:eastAsia="zh-CN"/>
              </w:rPr>
              <w:t>指导组建运行维护机构</w:t>
            </w:r>
          </w:p>
          <w:p w14:paraId="7405CC3B">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eastAsia="zh-CN"/>
              </w:rPr>
              <w:t>2</w:t>
            </w:r>
            <w:r>
              <w:rPr>
                <w:rFonts w:hint="default"/>
                <w:color w:val="000000"/>
                <w:lang w:eastAsia="zh-CN"/>
              </w:rPr>
              <w:t>.</w:t>
            </w:r>
            <w:r>
              <w:rPr>
                <w:rFonts w:hint="eastAsia"/>
                <w:color w:val="000000"/>
                <w:lang w:eastAsia="zh-CN"/>
              </w:rPr>
              <w:t>协助制定工作制度</w:t>
            </w:r>
          </w:p>
          <w:p w14:paraId="6FDC4794">
            <w:pPr>
              <w:pStyle w:val="72"/>
              <w:keepNext w:val="0"/>
              <w:keepLines w:val="0"/>
              <w:suppressLineNumbers w:val="0"/>
              <w:snapToGrid w:val="0"/>
              <w:spacing w:before="0" w:beforeAutospacing="0" w:after="0" w:afterAutospacing="0"/>
              <w:ind w:left="0" w:right="0"/>
              <w:jc w:val="left"/>
              <w:rPr>
                <w:rFonts w:hint="default"/>
                <w:color w:val="000000"/>
                <w:lang w:eastAsia="zh-CN"/>
              </w:rPr>
            </w:pPr>
            <w:r>
              <w:rPr>
                <w:rFonts w:hint="eastAsia"/>
                <w:color w:val="000000"/>
                <w:lang w:val="en-US" w:eastAsia="zh-CN"/>
              </w:rPr>
              <w:t>3.</w:t>
            </w:r>
            <w:r>
              <w:rPr>
                <w:rFonts w:hint="eastAsia"/>
                <w:color w:val="000000"/>
              </w:rPr>
              <w:t>培训、考核运行维护人员</w:t>
            </w:r>
          </w:p>
          <w:p w14:paraId="44102507">
            <w:pPr>
              <w:pStyle w:val="72"/>
              <w:keepNext w:val="0"/>
              <w:keepLines w:val="0"/>
              <w:suppressLineNumbers w:val="0"/>
              <w:snapToGrid w:val="0"/>
              <w:spacing w:before="0" w:beforeAutospacing="0" w:after="0" w:afterAutospacing="0"/>
              <w:ind w:left="0" w:right="0"/>
              <w:jc w:val="left"/>
              <w:rPr>
                <w:rFonts w:hint="eastAsia"/>
                <w:color w:val="000000"/>
                <w:lang w:eastAsia="zh-CN"/>
              </w:rPr>
            </w:pPr>
            <w:r>
              <w:rPr>
                <w:rFonts w:hint="eastAsia"/>
                <w:color w:val="000000"/>
                <w:lang w:val="en-US" w:eastAsia="zh-CN"/>
              </w:rPr>
              <w:t>4.</w:t>
            </w:r>
            <w:r>
              <w:rPr>
                <w:rFonts w:hint="eastAsia"/>
                <w:color w:val="000000"/>
                <w:lang w:eastAsia="zh-CN"/>
              </w:rPr>
              <w:t>指导生产调试、启动验收</w:t>
            </w:r>
          </w:p>
          <w:p w14:paraId="67D5A4FD">
            <w:pPr>
              <w:pStyle w:val="72"/>
              <w:keepNext w:val="0"/>
              <w:keepLines w:val="0"/>
              <w:suppressLineNumbers w:val="0"/>
              <w:snapToGrid w:val="0"/>
              <w:spacing w:before="0" w:beforeAutospacing="0" w:after="0" w:afterAutospacing="0"/>
              <w:ind w:left="0" w:right="0"/>
              <w:jc w:val="left"/>
              <w:rPr>
                <w:rFonts w:hint="eastAsia"/>
                <w:color w:val="000000"/>
                <w:lang w:eastAsia="zh-CN"/>
              </w:rPr>
            </w:pPr>
            <w:r>
              <w:rPr>
                <w:rFonts w:hint="eastAsia"/>
                <w:color w:val="000000"/>
                <w:lang w:val="en-US" w:eastAsia="zh-CN"/>
              </w:rPr>
              <w:t>5.</w:t>
            </w:r>
            <w:r>
              <w:rPr>
                <w:rFonts w:hint="eastAsia"/>
                <w:color w:val="000000"/>
              </w:rPr>
              <w:t>生产辅助管</w:t>
            </w:r>
          </w:p>
        </w:tc>
      </w:tr>
      <w:tr w14:paraId="170929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394C936A">
            <w:pPr>
              <w:pStyle w:val="71"/>
              <w:keepNext w:val="0"/>
              <w:keepLines w:val="0"/>
              <w:widowControl w:val="0"/>
              <w:suppressLineNumbers w:val="0"/>
              <w:spacing w:before="0" w:beforeAutospacing="0" w:after="0" w:afterAutospacing="0"/>
              <w:ind w:left="0" w:right="0"/>
              <w:rPr>
                <w:rFonts w:hint="default" w:hAnsi="Times New Roman" w:eastAsia="宋体" w:cs="Times New Roman"/>
                <w:color w:val="000000"/>
                <w:szCs w:val="20"/>
                <w:lang w:val="en-US" w:eastAsia="zh-CN"/>
              </w:rPr>
            </w:pPr>
            <w:r>
              <w:rPr>
                <w:rFonts w:hint="eastAsia" w:hAnsi="Times New Roman" w:cs="Times New Roman"/>
                <w:color w:val="000000"/>
                <w:szCs w:val="20"/>
                <w:lang w:val="en-US" w:eastAsia="zh-CN"/>
              </w:rPr>
              <w:t>第三方安全督查</w:t>
            </w:r>
          </w:p>
        </w:tc>
        <w:tc>
          <w:tcPr>
            <w:tcW w:w="1291" w:type="pct"/>
            <w:noWrap w:val="0"/>
            <w:vAlign w:val="center"/>
          </w:tcPr>
          <w:p w14:paraId="674805F0">
            <w:pPr>
              <w:pStyle w:val="72"/>
              <w:keepNext w:val="0"/>
              <w:keepLines w:val="0"/>
              <w:suppressLineNumbers w:val="0"/>
              <w:snapToGrid w:val="0"/>
              <w:spacing w:before="0" w:beforeAutospacing="0" w:after="0" w:afterAutospacing="0"/>
              <w:ind w:left="0" w:right="0"/>
              <w:rPr>
                <w:rFonts w:hint="eastAsia"/>
                <w:color w:val="000000"/>
                <w:lang w:eastAsia="zh-CN"/>
              </w:rPr>
            </w:pPr>
            <w:r>
              <w:rPr>
                <w:rFonts w:hint="eastAsia"/>
                <w:color w:val="000000"/>
                <w:lang w:eastAsia="zh-CN"/>
              </w:rPr>
              <w:t>-</w:t>
            </w:r>
          </w:p>
        </w:tc>
        <w:tc>
          <w:tcPr>
            <w:tcW w:w="1286" w:type="pct"/>
            <w:noWrap w:val="0"/>
            <w:vAlign w:val="center"/>
          </w:tcPr>
          <w:p w14:paraId="33B4DCCC">
            <w:pPr>
              <w:pStyle w:val="72"/>
              <w:keepNext w:val="0"/>
              <w:keepLines w:val="0"/>
              <w:suppressLineNumbers w:val="0"/>
              <w:snapToGrid w:val="0"/>
              <w:spacing w:before="0" w:beforeAutospacing="0" w:after="0" w:afterAutospacing="0"/>
              <w:ind w:left="0" w:right="0"/>
              <w:jc w:val="center"/>
              <w:rPr>
                <w:rFonts w:hint="eastAsia"/>
                <w:color w:val="000000"/>
                <w:lang w:eastAsia="zh-CN"/>
              </w:rPr>
            </w:pPr>
            <w:r>
              <w:rPr>
                <w:rFonts w:hint="eastAsia"/>
                <w:color w:val="000000"/>
                <w:lang w:eastAsia="zh-CN"/>
              </w:rPr>
              <w:t>-</w:t>
            </w:r>
          </w:p>
        </w:tc>
        <w:tc>
          <w:tcPr>
            <w:tcW w:w="1347" w:type="pct"/>
            <w:noWrap w:val="0"/>
            <w:vAlign w:val="center"/>
          </w:tcPr>
          <w:p w14:paraId="5BB22E5C">
            <w:pPr>
              <w:pStyle w:val="72"/>
              <w:keepNext w:val="0"/>
              <w:keepLines w:val="0"/>
              <w:numPr>
                <w:ilvl w:val="0"/>
                <w:numId w:val="0"/>
              </w:numPr>
              <w:suppressLineNumbers w:val="0"/>
              <w:snapToGrid w:val="0"/>
              <w:spacing w:before="0" w:beforeAutospacing="0" w:after="0" w:afterAutospacing="0"/>
              <w:ind w:left="0" w:right="0"/>
              <w:jc w:val="left"/>
              <w:rPr>
                <w:rFonts w:hint="eastAsia"/>
                <w:color w:val="000000"/>
              </w:rPr>
            </w:pPr>
            <w:r>
              <w:rPr>
                <w:rFonts w:hint="eastAsia"/>
                <w:color w:val="000000"/>
                <w:lang w:val="en-US" w:eastAsia="zh-CN"/>
              </w:rPr>
              <w:t>1.</w:t>
            </w:r>
            <w:r>
              <w:rPr>
                <w:rFonts w:hint="eastAsia"/>
                <w:color w:val="000000"/>
              </w:rPr>
              <w:t>组建安全督查工作机构</w:t>
            </w:r>
          </w:p>
          <w:p w14:paraId="2ABA9E61">
            <w:pPr>
              <w:pStyle w:val="72"/>
              <w:keepNext w:val="0"/>
              <w:keepLines w:val="0"/>
              <w:numPr>
                <w:ilvl w:val="0"/>
                <w:numId w:val="0"/>
              </w:numPr>
              <w:suppressLineNumbers w:val="0"/>
              <w:snapToGrid w:val="0"/>
              <w:spacing w:before="0" w:beforeAutospacing="0" w:after="0" w:afterAutospacing="0"/>
              <w:ind w:left="0" w:right="0"/>
              <w:jc w:val="left"/>
              <w:rPr>
                <w:rFonts w:hint="default"/>
                <w:color w:val="000000"/>
                <w:lang w:val="en-US" w:eastAsia="zh-CN"/>
              </w:rPr>
            </w:pPr>
            <w:r>
              <w:rPr>
                <w:rFonts w:hint="eastAsia"/>
                <w:color w:val="000000"/>
                <w:lang w:val="en-US" w:eastAsia="zh-CN"/>
              </w:rPr>
              <w:t>2.</w:t>
            </w:r>
            <w:r>
              <w:rPr>
                <w:rFonts w:hint="eastAsia"/>
                <w:color w:val="000000"/>
              </w:rPr>
              <w:t>制定安全督查计划</w:t>
            </w:r>
          </w:p>
          <w:p w14:paraId="1D3A0E87">
            <w:pPr>
              <w:pStyle w:val="72"/>
              <w:keepNext w:val="0"/>
              <w:keepLines w:val="0"/>
              <w:numPr>
                <w:ilvl w:val="0"/>
                <w:numId w:val="0"/>
              </w:numPr>
              <w:suppressLineNumbers w:val="0"/>
              <w:snapToGrid w:val="0"/>
              <w:spacing w:before="0" w:beforeAutospacing="0" w:after="0" w:afterAutospacing="0"/>
              <w:ind w:left="0" w:right="0"/>
              <w:jc w:val="left"/>
              <w:rPr>
                <w:rFonts w:hint="eastAsia"/>
                <w:color w:val="000000"/>
              </w:rPr>
            </w:pPr>
            <w:r>
              <w:rPr>
                <w:rFonts w:hint="eastAsia"/>
                <w:color w:val="000000"/>
                <w:lang w:val="en-US" w:eastAsia="zh-CN"/>
              </w:rPr>
              <w:t>3.</w:t>
            </w:r>
            <w:r>
              <w:rPr>
                <w:rFonts w:hint="eastAsia"/>
                <w:color w:val="000000"/>
              </w:rPr>
              <w:t>安全巡查</w:t>
            </w:r>
          </w:p>
          <w:p w14:paraId="58F59442">
            <w:pPr>
              <w:pStyle w:val="72"/>
              <w:keepNext w:val="0"/>
              <w:keepLines w:val="0"/>
              <w:numPr>
                <w:ilvl w:val="0"/>
                <w:numId w:val="0"/>
              </w:numPr>
              <w:suppressLineNumbers w:val="0"/>
              <w:snapToGrid w:val="0"/>
              <w:spacing w:before="0" w:beforeAutospacing="0" w:after="0" w:afterAutospacing="0"/>
              <w:ind w:left="0" w:right="0"/>
              <w:jc w:val="left"/>
              <w:rPr>
                <w:rFonts w:hint="eastAsia"/>
                <w:color w:val="000000"/>
                <w:lang w:val="en-US" w:eastAsia="zh-CN"/>
              </w:rPr>
            </w:pPr>
            <w:r>
              <w:rPr>
                <w:rFonts w:hint="eastAsia"/>
                <w:color w:val="000000"/>
                <w:lang w:val="en-US" w:eastAsia="zh-CN"/>
              </w:rPr>
              <w:t>4.</w:t>
            </w:r>
            <w:r>
              <w:rPr>
                <w:rFonts w:hint="eastAsia"/>
                <w:color w:val="000000"/>
              </w:rPr>
              <w:t>编制督查报告反馈建设单位</w:t>
            </w:r>
          </w:p>
          <w:p w14:paraId="29B1318C">
            <w:pPr>
              <w:pStyle w:val="72"/>
              <w:keepNext w:val="0"/>
              <w:keepLines w:val="0"/>
              <w:numPr>
                <w:ilvl w:val="0"/>
                <w:numId w:val="0"/>
              </w:numPr>
              <w:suppressLineNumbers w:val="0"/>
              <w:snapToGrid w:val="0"/>
              <w:spacing w:before="0" w:beforeAutospacing="0" w:after="0" w:afterAutospacing="0"/>
              <w:ind w:left="0" w:right="0"/>
              <w:jc w:val="left"/>
              <w:rPr>
                <w:rFonts w:hint="default"/>
                <w:color w:val="000000"/>
                <w:lang w:val="en-US" w:eastAsia="zh-CN"/>
              </w:rPr>
            </w:pPr>
            <w:r>
              <w:rPr>
                <w:rFonts w:hint="eastAsia"/>
                <w:color w:val="000000"/>
                <w:lang w:val="en-US" w:eastAsia="zh-CN"/>
              </w:rPr>
              <w:t>5.</w:t>
            </w:r>
            <w:r>
              <w:rPr>
                <w:rFonts w:hint="eastAsia"/>
                <w:color w:val="000000"/>
              </w:rPr>
              <w:t>配合开展安全培训</w:t>
            </w:r>
          </w:p>
        </w:tc>
      </w:tr>
      <w:tr w14:paraId="215D5A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5AECBB2B">
            <w:pPr>
              <w:pStyle w:val="71"/>
              <w:keepNext w:val="0"/>
              <w:keepLines w:val="0"/>
              <w:widowControl w:val="0"/>
              <w:suppressLineNumbers w:val="0"/>
              <w:spacing w:before="0" w:beforeAutospacing="0" w:after="0" w:afterAutospacing="0"/>
              <w:ind w:left="0" w:right="0"/>
              <w:rPr>
                <w:rFonts w:hint="default" w:hAnsi="Times New Roman" w:eastAsia="宋体" w:cs="Times New Roman"/>
                <w:color w:val="000000"/>
                <w:szCs w:val="20"/>
                <w:lang w:val="en-US" w:eastAsia="zh-CN"/>
              </w:rPr>
            </w:pPr>
            <w:r>
              <w:rPr>
                <w:rFonts w:hint="eastAsia" w:hAnsi="Times New Roman" w:cs="Times New Roman"/>
                <w:color w:val="000000"/>
                <w:szCs w:val="20"/>
                <w:lang w:val="en-US" w:eastAsia="zh-CN"/>
              </w:rPr>
              <w:t>安全生产标准化咨询</w:t>
            </w:r>
          </w:p>
        </w:tc>
        <w:tc>
          <w:tcPr>
            <w:tcW w:w="1291" w:type="pct"/>
            <w:noWrap w:val="0"/>
            <w:vAlign w:val="center"/>
          </w:tcPr>
          <w:p w14:paraId="13100D9E">
            <w:pPr>
              <w:pStyle w:val="72"/>
              <w:keepNext w:val="0"/>
              <w:keepLines w:val="0"/>
              <w:suppressLineNumbers w:val="0"/>
              <w:snapToGrid w:val="0"/>
              <w:spacing w:before="0" w:beforeAutospacing="0" w:after="0" w:afterAutospacing="0"/>
              <w:ind w:left="0" w:right="0"/>
              <w:rPr>
                <w:rFonts w:hint="eastAsia"/>
                <w:color w:val="000000"/>
                <w:lang w:eastAsia="zh-CN"/>
              </w:rPr>
            </w:pPr>
            <w:r>
              <w:rPr>
                <w:rFonts w:hint="eastAsia"/>
                <w:color w:val="000000"/>
                <w:lang w:eastAsia="zh-CN"/>
              </w:rPr>
              <w:t>-</w:t>
            </w:r>
          </w:p>
        </w:tc>
        <w:tc>
          <w:tcPr>
            <w:tcW w:w="1286" w:type="pct"/>
            <w:noWrap w:val="0"/>
            <w:vAlign w:val="center"/>
          </w:tcPr>
          <w:p w14:paraId="41D3620F">
            <w:pPr>
              <w:pStyle w:val="72"/>
              <w:keepNext w:val="0"/>
              <w:keepLines w:val="0"/>
              <w:suppressLineNumbers w:val="0"/>
              <w:snapToGrid w:val="0"/>
              <w:spacing w:before="0" w:beforeAutospacing="0" w:after="0" w:afterAutospacing="0"/>
              <w:ind w:left="0" w:right="0"/>
              <w:jc w:val="center"/>
              <w:rPr>
                <w:rFonts w:hint="eastAsia"/>
                <w:color w:val="000000"/>
                <w:lang w:eastAsia="zh-CN"/>
              </w:rPr>
            </w:pPr>
            <w:r>
              <w:rPr>
                <w:rFonts w:hint="eastAsia"/>
                <w:color w:val="000000"/>
                <w:lang w:eastAsia="zh-CN"/>
              </w:rPr>
              <w:t>-</w:t>
            </w:r>
          </w:p>
        </w:tc>
        <w:tc>
          <w:tcPr>
            <w:tcW w:w="1347" w:type="pct"/>
            <w:noWrap w:val="0"/>
            <w:vAlign w:val="center"/>
          </w:tcPr>
          <w:p w14:paraId="1AC79DA2">
            <w:pPr>
              <w:pStyle w:val="72"/>
              <w:keepNext w:val="0"/>
              <w:keepLines w:val="0"/>
              <w:numPr>
                <w:ilvl w:val="0"/>
                <w:numId w:val="0"/>
              </w:numPr>
              <w:suppressLineNumbers w:val="0"/>
              <w:snapToGrid w:val="0"/>
              <w:spacing w:before="0" w:beforeAutospacing="0" w:after="0" w:afterAutospacing="0"/>
              <w:ind w:left="0" w:right="0"/>
              <w:jc w:val="left"/>
              <w:rPr>
                <w:rFonts w:hint="eastAsia"/>
                <w:color w:val="000000"/>
              </w:rPr>
            </w:pPr>
            <w:r>
              <w:rPr>
                <w:rFonts w:hint="eastAsia"/>
                <w:color w:val="000000"/>
                <w:lang w:val="en-US" w:eastAsia="zh-CN"/>
              </w:rPr>
              <w:t>1.</w:t>
            </w:r>
            <w:r>
              <w:rPr>
                <w:rFonts w:hint="eastAsia"/>
                <w:color w:val="000000"/>
              </w:rPr>
              <w:t>安全生产标准化专业培训</w:t>
            </w:r>
          </w:p>
          <w:p w14:paraId="14241FD6">
            <w:pPr>
              <w:pStyle w:val="72"/>
              <w:keepNext w:val="0"/>
              <w:keepLines w:val="0"/>
              <w:numPr>
                <w:ilvl w:val="0"/>
                <w:numId w:val="0"/>
              </w:numPr>
              <w:suppressLineNumbers w:val="0"/>
              <w:snapToGrid w:val="0"/>
              <w:spacing w:before="0" w:beforeAutospacing="0" w:after="0" w:afterAutospacing="0"/>
              <w:ind w:left="0" w:right="0"/>
              <w:jc w:val="left"/>
              <w:rPr>
                <w:rFonts w:hint="eastAsia"/>
                <w:color w:val="000000"/>
              </w:rPr>
            </w:pPr>
            <w:r>
              <w:rPr>
                <w:rFonts w:hint="eastAsia"/>
                <w:color w:val="000000"/>
                <w:lang w:val="en-US" w:eastAsia="zh-CN"/>
              </w:rPr>
              <w:t>2.</w:t>
            </w:r>
            <w:r>
              <w:rPr>
                <w:rFonts w:hint="eastAsia"/>
                <w:color w:val="000000"/>
              </w:rPr>
              <w:t>安全生产标准化技术咨询</w:t>
            </w:r>
          </w:p>
          <w:p w14:paraId="6AE1DFAC">
            <w:pPr>
              <w:pStyle w:val="72"/>
              <w:keepNext w:val="0"/>
              <w:keepLines w:val="0"/>
              <w:numPr>
                <w:ilvl w:val="0"/>
                <w:numId w:val="0"/>
              </w:numPr>
              <w:suppressLineNumbers w:val="0"/>
              <w:snapToGrid w:val="0"/>
              <w:spacing w:before="0" w:beforeAutospacing="0" w:after="0" w:afterAutospacing="0"/>
              <w:ind w:left="0" w:right="0"/>
              <w:jc w:val="left"/>
              <w:rPr>
                <w:rFonts w:hint="default" w:eastAsia="宋体"/>
                <w:color w:val="000000"/>
                <w:lang w:val="en-US" w:eastAsia="zh-CN"/>
              </w:rPr>
            </w:pPr>
            <w:r>
              <w:rPr>
                <w:rFonts w:hint="eastAsia"/>
                <w:color w:val="000000"/>
                <w:lang w:val="en-US" w:eastAsia="zh-CN"/>
              </w:rPr>
              <w:t>3.</w:t>
            </w:r>
            <w:r>
              <w:rPr>
                <w:rFonts w:hint="eastAsia"/>
                <w:color w:val="000000"/>
              </w:rPr>
              <w:t>安全生产标准化达标评审</w:t>
            </w:r>
          </w:p>
        </w:tc>
      </w:tr>
      <w:tr w14:paraId="6B6EB3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65CC28A1">
            <w:pPr>
              <w:pStyle w:val="71"/>
              <w:keepNext w:val="0"/>
              <w:keepLines w:val="0"/>
              <w:widowControl w:val="0"/>
              <w:suppressLineNumbers w:val="0"/>
              <w:spacing w:before="0" w:beforeAutospacing="0" w:after="0" w:afterAutospacing="0"/>
              <w:ind w:left="0" w:right="0"/>
              <w:rPr>
                <w:rFonts w:hint="default" w:hAnsi="Times New Roman" w:eastAsia="宋体" w:cs="Times New Roman"/>
                <w:color w:val="000000"/>
                <w:szCs w:val="20"/>
                <w:lang w:val="en-US" w:eastAsia="zh-CN"/>
              </w:rPr>
            </w:pPr>
            <w:r>
              <w:rPr>
                <w:rFonts w:hint="eastAsia" w:hAnsi="Times New Roman" w:cs="Times New Roman"/>
                <w:color w:val="000000"/>
                <w:szCs w:val="20"/>
                <w:lang w:val="en-US" w:eastAsia="zh-CN"/>
              </w:rPr>
              <w:t>质量提升咨询</w:t>
            </w:r>
          </w:p>
        </w:tc>
        <w:tc>
          <w:tcPr>
            <w:tcW w:w="1291" w:type="pct"/>
            <w:noWrap w:val="0"/>
            <w:vAlign w:val="center"/>
          </w:tcPr>
          <w:p w14:paraId="37F762C1">
            <w:pPr>
              <w:pStyle w:val="72"/>
              <w:keepNext w:val="0"/>
              <w:keepLines w:val="0"/>
              <w:suppressLineNumbers w:val="0"/>
              <w:snapToGrid w:val="0"/>
              <w:spacing w:before="0" w:beforeAutospacing="0" w:after="0" w:afterAutospacing="0"/>
              <w:ind w:left="0" w:right="0"/>
              <w:jc w:val="both"/>
              <w:rPr>
                <w:rFonts w:hint="eastAsia" w:hAnsi="Times New Roman" w:eastAsia="宋体" w:cs="Times New Roman"/>
                <w:color w:val="000000"/>
              </w:rPr>
            </w:pPr>
            <w:r>
              <w:rPr>
                <w:rFonts w:hint="eastAsia"/>
                <w:color w:val="000000"/>
                <w:lang w:val="en-US" w:eastAsia="zh-CN"/>
              </w:rPr>
              <w:t>1.</w:t>
            </w:r>
            <w:r>
              <w:rPr>
                <w:rFonts w:hint="eastAsia" w:hAnsi="Times New Roman" w:eastAsia="宋体" w:cs="Times New Roman"/>
                <w:color w:val="000000"/>
              </w:rPr>
              <w:t>编制项目创优总体策划方案</w:t>
            </w:r>
          </w:p>
          <w:p w14:paraId="1F603607">
            <w:pPr>
              <w:pStyle w:val="72"/>
              <w:keepNext w:val="0"/>
              <w:keepLines w:val="0"/>
              <w:suppressLineNumbers w:val="0"/>
              <w:snapToGrid w:val="0"/>
              <w:spacing w:before="0" w:beforeAutospacing="0" w:after="0" w:afterAutospacing="0"/>
              <w:ind w:left="0" w:right="0"/>
              <w:jc w:val="both"/>
              <w:rPr>
                <w:rFonts w:hint="eastAsia" w:hAnsi="Times New Roman" w:eastAsia="宋体" w:cs="Times New Roman"/>
                <w:color w:val="000000"/>
                <w:lang w:val="en-US" w:eastAsia="zh-CN"/>
              </w:rPr>
            </w:pPr>
            <w:r>
              <w:rPr>
                <w:rFonts w:hint="eastAsia" w:hAnsi="Times New Roman" w:eastAsia="宋体" w:cs="Times New Roman"/>
                <w:color w:val="000000"/>
                <w:lang w:val="en-US" w:eastAsia="zh-CN"/>
              </w:rPr>
              <w:t>2.</w:t>
            </w:r>
            <w:r>
              <w:rPr>
                <w:rFonts w:hint="eastAsia" w:hAnsi="Times New Roman" w:eastAsia="宋体" w:cs="Times New Roman"/>
                <w:color w:val="000000"/>
              </w:rPr>
              <w:t>协助</w:t>
            </w:r>
            <w:r>
              <w:rPr>
                <w:rFonts w:hint="eastAsia" w:hAnsi="Times New Roman" w:eastAsia="宋体" w:cs="Times New Roman"/>
                <w:color w:val="000000"/>
                <w:lang w:val="en-US" w:eastAsia="zh-CN"/>
              </w:rPr>
              <w:t>办理</w:t>
            </w:r>
            <w:r>
              <w:rPr>
                <w:rFonts w:hint="eastAsia" w:hAnsi="Times New Roman" w:eastAsia="宋体" w:cs="Times New Roman"/>
                <w:color w:val="000000"/>
              </w:rPr>
              <w:t>合规</w:t>
            </w:r>
            <w:r>
              <w:rPr>
                <w:rFonts w:hint="eastAsia" w:hAnsi="Times New Roman" w:eastAsia="宋体" w:cs="Times New Roman"/>
                <w:color w:val="000000"/>
                <w:lang w:val="en-US" w:eastAsia="zh-CN"/>
              </w:rPr>
              <w:t>性</w:t>
            </w:r>
            <w:r>
              <w:rPr>
                <w:rFonts w:hint="eastAsia" w:hAnsi="Times New Roman" w:eastAsia="宋体" w:cs="Times New Roman"/>
                <w:color w:val="000000"/>
              </w:rPr>
              <w:t>文件</w:t>
            </w:r>
          </w:p>
        </w:tc>
        <w:tc>
          <w:tcPr>
            <w:tcW w:w="1286" w:type="pct"/>
            <w:noWrap w:val="0"/>
            <w:vAlign w:val="center"/>
          </w:tcPr>
          <w:p w14:paraId="6F3B4B40">
            <w:pPr>
              <w:pStyle w:val="72"/>
              <w:keepNext w:val="0"/>
              <w:keepLines w:val="0"/>
              <w:suppressLineNumbers w:val="0"/>
              <w:snapToGrid w:val="0"/>
              <w:spacing w:before="0" w:beforeAutospacing="0" w:after="0" w:afterAutospacing="0"/>
              <w:ind w:left="0" w:right="0"/>
              <w:jc w:val="left"/>
              <w:rPr>
                <w:rFonts w:hint="eastAsia" w:hAnsi="Times New Roman" w:eastAsia="宋体" w:cs="Times New Roman"/>
                <w:color w:val="000000"/>
              </w:rPr>
            </w:pPr>
            <w:r>
              <w:rPr>
                <w:rFonts w:hint="eastAsia"/>
                <w:color w:val="000000"/>
                <w:lang w:val="en-US" w:eastAsia="zh-CN"/>
              </w:rPr>
              <w:t>1.</w:t>
            </w:r>
            <w:r>
              <w:rPr>
                <w:rFonts w:hint="eastAsia" w:hAnsi="Times New Roman" w:eastAsia="宋体" w:cs="Times New Roman"/>
                <w:color w:val="000000"/>
              </w:rPr>
              <w:t>审核勘察设计单位创优方案</w:t>
            </w:r>
          </w:p>
          <w:p w14:paraId="4270DBD2">
            <w:pPr>
              <w:pStyle w:val="72"/>
              <w:keepNext w:val="0"/>
              <w:keepLines w:val="0"/>
              <w:suppressLineNumbers w:val="0"/>
              <w:snapToGrid w:val="0"/>
              <w:spacing w:before="0" w:beforeAutospacing="0" w:after="0" w:afterAutospacing="0"/>
              <w:ind w:left="0" w:right="0"/>
              <w:jc w:val="left"/>
              <w:rPr>
                <w:rFonts w:hint="default" w:hAnsi="Times New Roman" w:eastAsia="宋体" w:cs="Times New Roman"/>
                <w:color w:val="000000"/>
                <w:lang w:val="en-US" w:eastAsia="zh-CN"/>
              </w:rPr>
            </w:pPr>
            <w:r>
              <w:rPr>
                <w:rFonts w:hint="eastAsia" w:hAnsi="Times New Roman" w:eastAsia="宋体" w:cs="Times New Roman"/>
                <w:color w:val="000000"/>
                <w:lang w:val="en-US" w:eastAsia="zh-CN"/>
              </w:rPr>
              <w:t>2.</w:t>
            </w:r>
            <w:r>
              <w:rPr>
                <w:rFonts w:hint="eastAsia" w:hAnsi="Times New Roman" w:eastAsia="宋体" w:cs="Times New Roman"/>
                <w:color w:val="000000"/>
              </w:rPr>
              <w:t>绿色设计技术经济可行性分析</w:t>
            </w:r>
          </w:p>
        </w:tc>
        <w:tc>
          <w:tcPr>
            <w:tcW w:w="1347" w:type="pct"/>
            <w:noWrap w:val="0"/>
            <w:vAlign w:val="center"/>
          </w:tcPr>
          <w:p w14:paraId="70833DA4">
            <w:pPr>
              <w:pStyle w:val="72"/>
              <w:keepNext w:val="0"/>
              <w:keepLines w:val="0"/>
              <w:suppressLineNumbers w:val="0"/>
              <w:snapToGrid w:val="0"/>
              <w:spacing w:before="0" w:beforeAutospacing="0" w:after="0" w:afterAutospacing="0"/>
              <w:ind w:left="0" w:right="0"/>
              <w:jc w:val="left"/>
              <w:rPr>
                <w:rFonts w:hint="eastAsia" w:hAnsi="Times New Roman" w:eastAsia="宋体" w:cs="Times New Roman"/>
                <w:color w:val="000000"/>
                <w:lang w:val="en-US" w:eastAsia="zh-CN"/>
              </w:rPr>
            </w:pPr>
            <w:r>
              <w:rPr>
                <w:rFonts w:hint="eastAsia"/>
                <w:color w:val="000000"/>
                <w:lang w:val="en-US" w:eastAsia="zh-CN"/>
              </w:rPr>
              <w:t>1.实施过程</w:t>
            </w:r>
            <w:r>
              <w:rPr>
                <w:rFonts w:hint="eastAsia" w:hAnsi="Times New Roman" w:eastAsia="宋体" w:cs="Times New Roman"/>
                <w:color w:val="000000"/>
                <w:lang w:val="en-US" w:eastAsia="zh-CN"/>
              </w:rPr>
              <w:t>检查</w:t>
            </w:r>
          </w:p>
          <w:p w14:paraId="4CEDAC3C">
            <w:pPr>
              <w:pStyle w:val="72"/>
              <w:keepNext w:val="0"/>
              <w:keepLines w:val="0"/>
              <w:suppressLineNumbers w:val="0"/>
              <w:snapToGrid w:val="0"/>
              <w:spacing w:before="0" w:beforeAutospacing="0" w:after="0" w:afterAutospacing="0"/>
              <w:ind w:left="0" w:right="0"/>
              <w:jc w:val="left"/>
              <w:rPr>
                <w:rFonts w:hint="default" w:hAnsi="Times New Roman" w:eastAsia="宋体" w:cs="Times New Roman"/>
                <w:color w:val="000000"/>
                <w:lang w:val="en-US" w:eastAsia="zh-CN"/>
              </w:rPr>
            </w:pPr>
            <w:r>
              <w:rPr>
                <w:rFonts w:hint="eastAsia" w:hAnsi="Times New Roman" w:eastAsia="宋体" w:cs="Times New Roman"/>
                <w:color w:val="000000"/>
                <w:lang w:val="en-US" w:eastAsia="zh-CN"/>
              </w:rPr>
              <w:t>2.收集</w:t>
            </w:r>
            <w:r>
              <w:rPr>
                <w:rFonts w:hint="eastAsia" w:hAnsi="Times New Roman" w:eastAsia="宋体" w:cs="Times New Roman"/>
                <w:color w:val="000000"/>
              </w:rPr>
              <w:t>申报资料</w:t>
            </w:r>
            <w:r>
              <w:rPr>
                <w:rFonts w:hint="eastAsia" w:hAnsi="Times New Roman" w:eastAsia="宋体" w:cs="Times New Roman"/>
                <w:color w:val="000000"/>
                <w:lang w:val="en-US" w:eastAsia="zh-CN"/>
              </w:rPr>
              <w:t>并提交申报</w:t>
            </w:r>
          </w:p>
        </w:tc>
      </w:tr>
      <w:tr w14:paraId="52F60D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wAfter w:w="0" w:type="auto"/>
          <w:jc w:val="center"/>
        </w:trPr>
        <w:tc>
          <w:tcPr>
            <w:tcW w:w="1074" w:type="pct"/>
            <w:noWrap w:val="0"/>
            <w:vAlign w:val="center"/>
          </w:tcPr>
          <w:p w14:paraId="27254A54">
            <w:pPr>
              <w:pStyle w:val="71"/>
              <w:keepNext w:val="0"/>
              <w:keepLines w:val="0"/>
              <w:widowControl w:val="0"/>
              <w:suppressLineNumbers w:val="0"/>
              <w:spacing w:before="0" w:beforeAutospacing="0" w:after="0" w:afterAutospacing="0"/>
              <w:ind w:left="0" w:right="0"/>
              <w:rPr>
                <w:rFonts w:hint="default" w:hAnsi="Times New Roman" w:eastAsia="宋体" w:cs="Times New Roman"/>
                <w:color w:val="000000"/>
                <w:szCs w:val="20"/>
                <w:lang w:val="en-US" w:eastAsia="zh-CN"/>
              </w:rPr>
            </w:pPr>
            <w:r>
              <w:rPr>
                <w:rFonts w:hint="eastAsia" w:hAnsi="Times New Roman" w:cs="Times New Roman"/>
                <w:color w:val="000000"/>
                <w:szCs w:val="20"/>
                <w:lang w:val="en-US" w:eastAsia="zh-CN"/>
              </w:rPr>
              <w:t>设计评审</w:t>
            </w:r>
          </w:p>
        </w:tc>
        <w:tc>
          <w:tcPr>
            <w:tcW w:w="1291" w:type="pct"/>
            <w:noWrap w:val="0"/>
            <w:vAlign w:val="center"/>
          </w:tcPr>
          <w:p w14:paraId="024E25F4">
            <w:pPr>
              <w:pStyle w:val="72"/>
              <w:keepNext w:val="0"/>
              <w:keepLines w:val="0"/>
              <w:suppressLineNumbers w:val="0"/>
              <w:snapToGrid w:val="0"/>
              <w:spacing w:before="0" w:beforeAutospacing="0" w:after="0" w:afterAutospacing="0"/>
              <w:ind w:left="0" w:right="0"/>
              <w:rPr>
                <w:rFonts w:hint="eastAsia"/>
                <w:color w:val="000000"/>
                <w:lang w:eastAsia="zh-CN"/>
              </w:rPr>
            </w:pPr>
            <w:r>
              <w:rPr>
                <w:rFonts w:hint="eastAsia"/>
                <w:color w:val="000000"/>
                <w:lang w:eastAsia="zh-CN"/>
              </w:rPr>
              <w:t>-</w:t>
            </w:r>
          </w:p>
        </w:tc>
        <w:tc>
          <w:tcPr>
            <w:tcW w:w="1286" w:type="pct"/>
            <w:noWrap w:val="0"/>
            <w:vAlign w:val="center"/>
          </w:tcPr>
          <w:p w14:paraId="6268164E">
            <w:pPr>
              <w:pStyle w:val="72"/>
              <w:keepNext w:val="0"/>
              <w:keepLines w:val="0"/>
              <w:numPr>
                <w:ilvl w:val="0"/>
                <w:numId w:val="0"/>
              </w:numPr>
              <w:suppressLineNumbers w:val="0"/>
              <w:snapToGrid w:val="0"/>
              <w:spacing w:before="0" w:beforeAutospacing="0" w:after="0" w:afterAutospacing="0"/>
              <w:ind w:left="0" w:right="0"/>
              <w:jc w:val="left"/>
              <w:rPr>
                <w:rFonts w:hint="eastAsia"/>
                <w:color w:val="000000"/>
              </w:rPr>
            </w:pPr>
            <w:r>
              <w:rPr>
                <w:rFonts w:hint="eastAsia"/>
                <w:color w:val="000000"/>
                <w:lang w:val="en-US" w:eastAsia="zh-CN"/>
              </w:rPr>
              <w:t>1.可</w:t>
            </w:r>
            <w:r>
              <w:rPr>
                <w:rFonts w:hint="eastAsia"/>
                <w:color w:val="000000"/>
              </w:rPr>
              <w:t>行性研究报告评审</w:t>
            </w:r>
          </w:p>
          <w:p w14:paraId="443CF40F">
            <w:pPr>
              <w:pStyle w:val="72"/>
              <w:keepNext w:val="0"/>
              <w:keepLines w:val="0"/>
              <w:numPr>
                <w:ilvl w:val="0"/>
                <w:numId w:val="0"/>
              </w:numPr>
              <w:suppressLineNumbers w:val="0"/>
              <w:snapToGrid w:val="0"/>
              <w:spacing w:before="0" w:beforeAutospacing="0" w:after="0" w:afterAutospacing="0"/>
              <w:ind w:left="0" w:right="0"/>
              <w:jc w:val="left"/>
              <w:rPr>
                <w:rFonts w:hint="default"/>
                <w:color w:val="000000"/>
                <w:lang w:val="en-US" w:eastAsia="zh-CN"/>
              </w:rPr>
            </w:pPr>
            <w:r>
              <w:rPr>
                <w:rFonts w:hint="eastAsia"/>
                <w:color w:val="000000"/>
                <w:lang w:val="en-US" w:eastAsia="zh-CN"/>
              </w:rPr>
              <w:t>2.</w:t>
            </w:r>
            <w:r>
              <w:rPr>
                <w:rFonts w:hint="eastAsia"/>
                <w:color w:val="000000"/>
              </w:rPr>
              <w:t>初步设计评审</w:t>
            </w:r>
          </w:p>
          <w:p w14:paraId="586F80FE">
            <w:pPr>
              <w:pStyle w:val="72"/>
              <w:keepNext w:val="0"/>
              <w:keepLines w:val="0"/>
              <w:numPr>
                <w:ilvl w:val="0"/>
                <w:numId w:val="0"/>
              </w:numPr>
              <w:suppressLineNumbers w:val="0"/>
              <w:snapToGrid w:val="0"/>
              <w:spacing w:before="0" w:beforeAutospacing="0" w:after="0" w:afterAutospacing="0"/>
              <w:ind w:left="0" w:right="0"/>
              <w:jc w:val="left"/>
              <w:rPr>
                <w:rFonts w:hint="default"/>
                <w:color w:val="000000"/>
                <w:lang w:val="en-US" w:eastAsia="zh-CN"/>
              </w:rPr>
            </w:pPr>
            <w:r>
              <w:rPr>
                <w:rFonts w:hint="eastAsia"/>
                <w:color w:val="000000"/>
                <w:lang w:val="en-US" w:eastAsia="zh-CN"/>
              </w:rPr>
              <w:t>3.</w:t>
            </w:r>
            <w:r>
              <w:rPr>
                <w:rFonts w:hint="eastAsia"/>
                <w:color w:val="000000"/>
              </w:rPr>
              <w:t>施工图设计评审</w:t>
            </w:r>
          </w:p>
        </w:tc>
        <w:tc>
          <w:tcPr>
            <w:tcW w:w="1347" w:type="pct"/>
            <w:noWrap w:val="0"/>
            <w:vAlign w:val="center"/>
          </w:tcPr>
          <w:p w14:paraId="0ACB8C16">
            <w:pPr>
              <w:pStyle w:val="72"/>
              <w:keepNext w:val="0"/>
              <w:keepLines w:val="0"/>
              <w:suppressLineNumbers w:val="0"/>
              <w:snapToGrid w:val="0"/>
              <w:spacing w:before="0" w:beforeAutospacing="0" w:after="0" w:afterAutospacing="0"/>
              <w:ind w:left="0" w:right="0"/>
              <w:jc w:val="center"/>
              <w:rPr>
                <w:rFonts w:hint="default"/>
                <w:color w:val="000000"/>
                <w:lang w:eastAsia="zh-CN"/>
              </w:rPr>
            </w:pPr>
            <w:r>
              <w:rPr>
                <w:rFonts w:hint="eastAsia"/>
                <w:color w:val="000000"/>
                <w:lang w:eastAsia="zh-CN"/>
              </w:rPr>
              <w:t>-</w:t>
            </w:r>
          </w:p>
        </w:tc>
      </w:tr>
      <w:tr w14:paraId="5BFCBB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074" w:type="pct"/>
            <w:noWrap w:val="0"/>
            <w:vAlign w:val="center"/>
          </w:tcPr>
          <w:p w14:paraId="2C9BF010">
            <w:pPr>
              <w:pStyle w:val="71"/>
              <w:keepNext w:val="0"/>
              <w:keepLines w:val="0"/>
              <w:widowControl w:val="0"/>
              <w:suppressLineNumbers w:val="0"/>
              <w:spacing w:before="0" w:beforeAutospacing="0" w:after="0" w:afterAutospacing="0"/>
              <w:ind w:left="0" w:right="0"/>
              <w:rPr>
                <w:rFonts w:hint="default" w:hAnsi="Times New Roman" w:cs="Times New Roman"/>
                <w:color w:val="000000"/>
                <w:szCs w:val="20"/>
                <w:lang w:val="en-US" w:eastAsia="zh-CN"/>
              </w:rPr>
            </w:pPr>
            <w:r>
              <w:rPr>
                <w:rFonts w:hint="eastAsia" w:hAnsi="Times New Roman" w:cs="Times New Roman"/>
                <w:color w:val="000000"/>
                <w:szCs w:val="20"/>
                <w:lang w:val="en-US" w:eastAsia="zh-CN"/>
              </w:rPr>
              <w:t>ESG评价</w:t>
            </w:r>
          </w:p>
        </w:tc>
        <w:tc>
          <w:tcPr>
            <w:tcW w:w="1291" w:type="pct"/>
            <w:noWrap w:val="0"/>
            <w:vAlign w:val="center"/>
          </w:tcPr>
          <w:p w14:paraId="7D70D8A8">
            <w:pPr>
              <w:pStyle w:val="72"/>
              <w:keepNext w:val="0"/>
              <w:keepLines w:val="0"/>
              <w:suppressLineNumbers w:val="0"/>
              <w:snapToGrid w:val="0"/>
              <w:spacing w:before="0" w:beforeAutospacing="0" w:after="0" w:afterAutospacing="0"/>
              <w:ind w:left="0" w:right="0"/>
              <w:jc w:val="both"/>
              <w:rPr>
                <w:rFonts w:hint="eastAsia" w:ascii="宋体" w:hAnsi="Times New Roman" w:eastAsia="宋体" w:cs="Times New Roman"/>
                <w:color w:val="000000"/>
              </w:rPr>
            </w:pPr>
            <w:r>
              <w:rPr>
                <w:rFonts w:hint="eastAsia"/>
                <w:color w:val="000000"/>
                <w:lang w:val="en-US" w:eastAsia="zh-CN"/>
              </w:rPr>
              <w:t>1.</w:t>
            </w:r>
            <w:r>
              <w:rPr>
                <w:rFonts w:hint="eastAsia" w:ascii="宋体" w:hAnsi="Times New Roman" w:eastAsia="宋体" w:cs="Times New Roman"/>
                <w:color w:val="000000"/>
              </w:rPr>
              <w:t>编制项目 ESG 整体实施方案</w:t>
            </w:r>
          </w:p>
          <w:p w14:paraId="45F508E1">
            <w:pPr>
              <w:pStyle w:val="72"/>
              <w:keepNext w:val="0"/>
              <w:keepLines w:val="0"/>
              <w:suppressLineNumbers w:val="0"/>
              <w:snapToGrid w:val="0"/>
              <w:spacing w:before="0" w:beforeAutospacing="0" w:after="0" w:afterAutospacing="0"/>
              <w:ind w:left="0" w:right="0"/>
              <w:jc w:val="both"/>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2.</w:t>
            </w:r>
            <w:r>
              <w:rPr>
                <w:rFonts w:hint="eastAsia" w:ascii="宋体" w:hAnsi="Times New Roman" w:eastAsia="宋体" w:cs="Times New Roman"/>
                <w:color w:val="000000"/>
              </w:rPr>
              <w:t>环境维度前置评价</w:t>
            </w:r>
          </w:p>
          <w:p w14:paraId="7C81B386">
            <w:pPr>
              <w:pStyle w:val="72"/>
              <w:keepNext w:val="0"/>
              <w:keepLines w:val="0"/>
              <w:suppressLineNumbers w:val="0"/>
              <w:snapToGrid w:val="0"/>
              <w:spacing w:before="0" w:beforeAutospacing="0" w:after="0" w:afterAutospacing="0"/>
              <w:ind w:left="0" w:right="0"/>
              <w:jc w:val="both"/>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3.</w:t>
            </w:r>
            <w:r>
              <w:rPr>
                <w:rFonts w:hint="eastAsia" w:ascii="宋体" w:hAnsi="Times New Roman" w:eastAsia="宋体" w:cs="Times New Roman"/>
                <w:color w:val="000000"/>
              </w:rPr>
              <w:t>社会维度前置评价</w:t>
            </w:r>
          </w:p>
          <w:p w14:paraId="1BC47AE7">
            <w:pPr>
              <w:pStyle w:val="72"/>
              <w:keepNext w:val="0"/>
              <w:keepLines w:val="0"/>
              <w:suppressLineNumbers w:val="0"/>
              <w:snapToGrid w:val="0"/>
              <w:spacing w:before="0" w:beforeAutospacing="0" w:after="0" w:afterAutospacing="0"/>
              <w:ind w:left="0" w:right="0"/>
              <w:jc w:val="both"/>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4.</w:t>
            </w:r>
            <w:r>
              <w:rPr>
                <w:rFonts w:hint="eastAsia" w:ascii="宋体" w:hAnsi="Times New Roman" w:eastAsia="宋体" w:cs="Times New Roman"/>
                <w:color w:val="000000"/>
              </w:rPr>
              <w:t>治理维度前置评价</w:t>
            </w:r>
          </w:p>
          <w:p w14:paraId="0419960C">
            <w:pPr>
              <w:pStyle w:val="72"/>
              <w:keepNext w:val="0"/>
              <w:keepLines w:val="0"/>
              <w:suppressLineNumbers w:val="0"/>
              <w:snapToGrid w:val="0"/>
              <w:spacing w:before="0" w:beforeAutospacing="0" w:after="0" w:afterAutospacing="0"/>
              <w:ind w:left="0" w:right="0"/>
              <w:jc w:val="both"/>
              <w:rPr>
                <w:rFonts w:hint="default" w:ascii="宋体" w:hAnsi="Times New Roman" w:eastAsia="宋体" w:cs="Times New Roman"/>
                <w:color w:val="000000"/>
                <w:lang w:val="en-US" w:eastAsia="zh-CN"/>
              </w:rPr>
            </w:pPr>
            <w:r>
              <w:rPr>
                <w:rFonts w:hint="eastAsia" w:ascii="宋体" w:hAnsi="Times New Roman" w:eastAsia="宋体" w:cs="Times New Roman"/>
                <w:color w:val="000000"/>
                <w:lang w:val="en-US" w:eastAsia="zh-CN"/>
              </w:rPr>
              <w:t>5.</w:t>
            </w:r>
            <w:r>
              <w:rPr>
                <w:rFonts w:hint="eastAsia" w:ascii="宋体" w:hAnsi="Times New Roman" w:eastAsia="宋体" w:cs="Times New Roman"/>
                <w:color w:val="000000"/>
              </w:rPr>
              <w:t>可</w:t>
            </w:r>
            <w:r>
              <w:rPr>
                <w:rFonts w:hint="eastAsia" w:ascii="宋体" w:hAnsi="Times New Roman" w:eastAsia="宋体" w:cs="Times New Roman"/>
                <w:color w:val="000000"/>
                <w:lang w:val="en-US" w:eastAsia="zh-CN"/>
              </w:rPr>
              <w:t>行性</w:t>
            </w:r>
            <w:r>
              <w:rPr>
                <w:rFonts w:hint="eastAsia" w:ascii="宋体" w:hAnsi="Times New Roman" w:eastAsia="宋体" w:cs="Times New Roman"/>
                <w:color w:val="000000"/>
              </w:rPr>
              <w:t>研</w:t>
            </w:r>
            <w:r>
              <w:rPr>
                <w:rFonts w:hint="eastAsia" w:ascii="宋体" w:hAnsi="Times New Roman" w:eastAsia="宋体" w:cs="Times New Roman"/>
                <w:color w:val="000000"/>
                <w:lang w:val="en-US" w:eastAsia="zh-CN"/>
              </w:rPr>
              <w:t>究报告或</w:t>
            </w:r>
            <w:r>
              <w:rPr>
                <w:rFonts w:hint="eastAsia" w:ascii="宋体" w:hAnsi="Times New Roman" w:eastAsia="宋体" w:cs="Times New Roman"/>
                <w:color w:val="000000"/>
              </w:rPr>
              <w:t>项目建议书 ES</w:t>
            </w:r>
            <w:r>
              <w:rPr>
                <w:rFonts w:hint="eastAsia" w:ascii="宋体" w:hAnsi="Times New Roman" w:eastAsia="宋体" w:cs="Times New Roman"/>
                <w:color w:val="000000"/>
                <w:lang w:val="en-US" w:eastAsia="zh-CN"/>
              </w:rPr>
              <w:t>G</w:t>
            </w:r>
            <w:r>
              <w:rPr>
                <w:rFonts w:hint="eastAsia" w:ascii="宋体" w:hAnsi="Times New Roman" w:eastAsia="宋体" w:cs="Times New Roman"/>
                <w:color w:val="000000"/>
              </w:rPr>
              <w:t>专项章节编制</w:t>
            </w:r>
          </w:p>
        </w:tc>
        <w:tc>
          <w:tcPr>
            <w:tcW w:w="1286" w:type="pct"/>
            <w:noWrap w:val="0"/>
            <w:vAlign w:val="center"/>
          </w:tcPr>
          <w:p w14:paraId="06AD33B3">
            <w:pPr>
              <w:pStyle w:val="72"/>
              <w:keepNext w:val="0"/>
              <w:keepLines w:val="0"/>
              <w:numPr>
                <w:ilvl w:val="0"/>
                <w:numId w:val="0"/>
              </w:numPr>
              <w:suppressLineNumbers w:val="0"/>
              <w:snapToGrid w:val="0"/>
              <w:spacing w:before="0" w:beforeAutospacing="0" w:after="0" w:afterAutospacing="0"/>
              <w:ind w:left="0" w:right="0"/>
              <w:jc w:val="left"/>
              <w:rPr>
                <w:rFonts w:hint="eastAsia" w:ascii="宋体" w:hAnsi="Times New Roman" w:eastAsia="宋体" w:cs="Times New Roman"/>
                <w:color w:val="000000"/>
              </w:rPr>
            </w:pPr>
            <w:r>
              <w:rPr>
                <w:rFonts w:hint="eastAsia"/>
                <w:color w:val="000000"/>
                <w:lang w:val="en-US" w:eastAsia="zh-CN"/>
              </w:rPr>
              <w:t>1.</w:t>
            </w:r>
            <w:r>
              <w:rPr>
                <w:rFonts w:hint="eastAsia" w:ascii="宋体" w:hAnsi="Times New Roman" w:eastAsia="宋体" w:cs="Times New Roman"/>
                <w:color w:val="000000"/>
                <w:lang w:val="en-US" w:eastAsia="zh-CN"/>
              </w:rPr>
              <w:t>设计</w:t>
            </w:r>
            <w:r>
              <w:rPr>
                <w:rFonts w:hint="eastAsia" w:ascii="宋体" w:hAnsi="Times New Roman" w:eastAsia="宋体" w:cs="Times New Roman"/>
                <w:color w:val="000000"/>
              </w:rPr>
              <w:t>图</w:t>
            </w:r>
            <w:r>
              <w:rPr>
                <w:rFonts w:hint="eastAsia" w:ascii="宋体" w:hAnsi="Times New Roman" w:eastAsia="宋体" w:cs="Times New Roman"/>
                <w:color w:val="000000"/>
                <w:lang w:val="en-US" w:eastAsia="zh-CN"/>
              </w:rPr>
              <w:t>纸</w:t>
            </w:r>
            <w:r>
              <w:rPr>
                <w:rFonts w:hint="eastAsia" w:ascii="宋体" w:hAnsi="Times New Roman" w:eastAsia="宋体" w:cs="Times New Roman"/>
                <w:color w:val="000000"/>
              </w:rPr>
              <w:t xml:space="preserve"> ES</w:t>
            </w:r>
            <w:r>
              <w:rPr>
                <w:rFonts w:hint="eastAsia" w:ascii="宋体" w:hAnsi="Times New Roman" w:eastAsia="宋体" w:cs="Times New Roman"/>
                <w:color w:val="000000"/>
                <w:lang w:val="en-US" w:eastAsia="zh-CN"/>
              </w:rPr>
              <w:t>G</w:t>
            </w:r>
            <w:r>
              <w:rPr>
                <w:rFonts w:hint="eastAsia" w:ascii="宋体" w:hAnsi="Times New Roman" w:eastAsia="宋体" w:cs="Times New Roman"/>
                <w:color w:val="000000"/>
              </w:rPr>
              <w:t xml:space="preserve"> 专项审查</w:t>
            </w:r>
          </w:p>
          <w:p w14:paraId="679BF570">
            <w:pPr>
              <w:pStyle w:val="72"/>
              <w:keepNext w:val="0"/>
              <w:keepLines w:val="0"/>
              <w:numPr>
                <w:ilvl w:val="0"/>
                <w:numId w:val="0"/>
              </w:numPr>
              <w:suppressLineNumbers w:val="0"/>
              <w:snapToGrid w:val="0"/>
              <w:spacing w:before="0" w:beforeAutospacing="0" w:after="0" w:afterAutospacing="0"/>
              <w:ind w:left="0" w:right="0"/>
              <w:jc w:val="left"/>
              <w:rPr>
                <w:rFonts w:hint="eastAsia" w:ascii="宋体" w:hAnsi="Times New Roman" w:eastAsia="宋体" w:cs="Times New Roman"/>
                <w:color w:val="000000"/>
                <w:lang w:val="en-US" w:eastAsia="zh-CN"/>
              </w:rPr>
            </w:pPr>
            <w:r>
              <w:rPr>
                <w:rFonts w:hint="eastAsia" w:ascii="宋体" w:hAnsi="Times New Roman" w:eastAsia="宋体" w:cs="Times New Roman"/>
                <w:color w:val="000000"/>
                <w:lang w:val="en-US" w:eastAsia="zh-CN"/>
              </w:rPr>
              <w:t>2.</w:t>
            </w:r>
            <w:r>
              <w:rPr>
                <w:rFonts w:hint="eastAsia" w:ascii="宋体" w:hAnsi="Times New Roman" w:eastAsia="宋体" w:cs="Times New Roman"/>
                <w:color w:val="000000"/>
              </w:rPr>
              <w:t>参建单位 ES</w:t>
            </w:r>
            <w:r>
              <w:rPr>
                <w:rFonts w:hint="eastAsia" w:ascii="宋体" w:hAnsi="Times New Roman" w:eastAsia="宋体" w:cs="Times New Roman"/>
                <w:color w:val="000000"/>
                <w:lang w:val="en-US" w:eastAsia="zh-CN"/>
              </w:rPr>
              <w:t>G</w:t>
            </w:r>
            <w:r>
              <w:rPr>
                <w:rFonts w:hint="eastAsia" w:ascii="宋体" w:hAnsi="Times New Roman" w:eastAsia="宋体" w:cs="Times New Roman"/>
                <w:color w:val="000000"/>
              </w:rPr>
              <w:t xml:space="preserve"> 体系</w:t>
            </w:r>
            <w:r>
              <w:rPr>
                <w:rFonts w:hint="eastAsia" w:ascii="宋体" w:hAnsi="Times New Roman" w:eastAsia="宋体" w:cs="Times New Roman"/>
                <w:color w:val="000000"/>
                <w:lang w:val="en-US" w:eastAsia="zh-CN"/>
              </w:rPr>
              <w:t>审查</w:t>
            </w:r>
          </w:p>
        </w:tc>
        <w:tc>
          <w:tcPr>
            <w:tcW w:w="1347" w:type="pct"/>
            <w:noWrap w:val="0"/>
            <w:vAlign w:val="center"/>
          </w:tcPr>
          <w:p w14:paraId="3571DDD8">
            <w:pPr>
              <w:pStyle w:val="72"/>
              <w:keepNext w:val="0"/>
              <w:keepLines w:val="0"/>
              <w:suppressLineNumbers w:val="0"/>
              <w:snapToGrid w:val="0"/>
              <w:spacing w:before="0" w:beforeAutospacing="0" w:after="0" w:afterAutospacing="0"/>
              <w:ind w:left="0" w:right="0"/>
              <w:jc w:val="both"/>
              <w:rPr>
                <w:rFonts w:hint="eastAsia" w:ascii="宋体" w:hAnsi="Times New Roman" w:eastAsia="宋体" w:cs="Times New Roman"/>
                <w:color w:val="000000"/>
              </w:rPr>
            </w:pPr>
            <w:r>
              <w:rPr>
                <w:rFonts w:hint="eastAsia"/>
                <w:color w:val="000000"/>
                <w:lang w:val="en-US" w:eastAsia="zh-CN"/>
              </w:rPr>
              <w:t>1.</w:t>
            </w:r>
            <w:r>
              <w:rPr>
                <w:rFonts w:hint="eastAsia" w:ascii="宋体" w:hAnsi="Times New Roman" w:eastAsia="宋体" w:cs="Times New Roman"/>
                <w:color w:val="000000"/>
              </w:rPr>
              <w:t>环境维度现场动态评价</w:t>
            </w:r>
          </w:p>
          <w:p w14:paraId="5D413BA4">
            <w:pPr>
              <w:pStyle w:val="72"/>
              <w:keepNext w:val="0"/>
              <w:keepLines w:val="0"/>
              <w:suppressLineNumbers w:val="0"/>
              <w:snapToGrid w:val="0"/>
              <w:spacing w:before="0" w:beforeAutospacing="0" w:after="0" w:afterAutospacing="0"/>
              <w:ind w:left="0" w:right="0"/>
              <w:jc w:val="both"/>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2.</w:t>
            </w:r>
            <w:r>
              <w:rPr>
                <w:rFonts w:hint="eastAsia" w:ascii="宋体" w:hAnsi="Times New Roman" w:eastAsia="宋体" w:cs="Times New Roman"/>
                <w:color w:val="000000"/>
              </w:rPr>
              <w:t>社会维度过程评价</w:t>
            </w:r>
          </w:p>
          <w:p w14:paraId="024F4B5D">
            <w:pPr>
              <w:pStyle w:val="72"/>
              <w:keepNext w:val="0"/>
              <w:keepLines w:val="0"/>
              <w:suppressLineNumbers w:val="0"/>
              <w:snapToGrid w:val="0"/>
              <w:spacing w:before="0" w:beforeAutospacing="0" w:after="0" w:afterAutospacing="0"/>
              <w:ind w:left="0" w:right="0"/>
              <w:jc w:val="both"/>
              <w:rPr>
                <w:rFonts w:hint="eastAsia" w:ascii="宋体" w:hAnsi="Times New Roman" w:eastAsia="宋体" w:cs="Times New Roman"/>
                <w:color w:val="000000"/>
              </w:rPr>
            </w:pPr>
            <w:r>
              <w:rPr>
                <w:rFonts w:hint="eastAsia" w:ascii="宋体" w:hAnsi="Times New Roman" w:eastAsia="宋体" w:cs="Times New Roman"/>
                <w:color w:val="000000"/>
                <w:lang w:val="en-US" w:eastAsia="zh-CN"/>
              </w:rPr>
              <w:t>3.</w:t>
            </w:r>
            <w:r>
              <w:rPr>
                <w:rFonts w:hint="eastAsia" w:ascii="宋体" w:hAnsi="Times New Roman" w:eastAsia="宋体" w:cs="Times New Roman"/>
                <w:color w:val="000000"/>
              </w:rPr>
              <w:t>治理维度过程评价</w:t>
            </w:r>
          </w:p>
          <w:p w14:paraId="1D2F6A61">
            <w:pPr>
              <w:pStyle w:val="72"/>
              <w:keepNext w:val="0"/>
              <w:keepLines w:val="0"/>
              <w:suppressLineNumbers w:val="0"/>
              <w:snapToGrid w:val="0"/>
              <w:spacing w:before="0" w:beforeAutospacing="0" w:after="0" w:afterAutospacing="0"/>
              <w:ind w:left="0" w:right="0"/>
              <w:jc w:val="both"/>
              <w:rPr>
                <w:rFonts w:hint="default" w:ascii="宋体" w:hAnsi="Times New Roman" w:eastAsia="宋体" w:cs="Times New Roman"/>
                <w:color w:val="000000"/>
                <w:lang w:val="en-US" w:eastAsia="zh-CN"/>
              </w:rPr>
            </w:pPr>
            <w:r>
              <w:rPr>
                <w:rFonts w:hint="eastAsia" w:ascii="宋体" w:hAnsi="Times New Roman" w:eastAsia="宋体" w:cs="Times New Roman"/>
                <w:color w:val="000000"/>
                <w:lang w:val="en-US" w:eastAsia="zh-CN"/>
              </w:rPr>
              <w:t>4.出具</w:t>
            </w:r>
            <w:r>
              <w:rPr>
                <w:rFonts w:hint="eastAsia" w:ascii="宋体" w:hAnsi="Times New Roman" w:eastAsia="宋体" w:cs="Times New Roman"/>
                <w:color w:val="000000"/>
              </w:rPr>
              <w:t>ES</w:t>
            </w:r>
            <w:r>
              <w:rPr>
                <w:rFonts w:hint="eastAsia" w:ascii="宋体" w:hAnsi="Times New Roman" w:eastAsia="宋体" w:cs="Times New Roman"/>
                <w:color w:val="000000"/>
                <w:lang w:val="en-US" w:eastAsia="zh-CN"/>
              </w:rPr>
              <w:t>G</w:t>
            </w:r>
            <w:r>
              <w:rPr>
                <w:rFonts w:hint="eastAsia" w:ascii="宋体" w:hAnsi="Times New Roman" w:eastAsia="宋体" w:cs="Times New Roman"/>
                <w:color w:val="000000"/>
              </w:rPr>
              <w:t>评价</w:t>
            </w:r>
            <w:r>
              <w:rPr>
                <w:rFonts w:hint="eastAsia" w:ascii="宋体" w:hAnsi="Times New Roman" w:eastAsia="宋体" w:cs="Times New Roman"/>
                <w:color w:val="000000"/>
                <w:lang w:val="en-US" w:eastAsia="zh-CN"/>
              </w:rPr>
              <w:t>报告</w:t>
            </w:r>
          </w:p>
        </w:tc>
      </w:tr>
    </w:tbl>
    <w:p w14:paraId="24A1DC0C">
      <w:pPr>
        <w:pStyle w:val="32"/>
        <w:ind w:firstLine="0" w:firstLineChars="0"/>
        <w:rPr>
          <w:color w:val="000000"/>
        </w:rPr>
      </w:pPr>
    </w:p>
    <w:p w14:paraId="774D03F4">
      <w:pPr>
        <w:pStyle w:val="32"/>
        <w:ind w:firstLine="420"/>
        <w:rPr>
          <w:color w:val="000000"/>
        </w:rPr>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720" w:num="1"/>
          <w:formProt w:val="0"/>
          <w:docGrid w:linePitch="312" w:charSpace="0"/>
        </w:sectPr>
      </w:pPr>
    </w:p>
    <w:p w14:paraId="22ABEF44">
      <w:pPr>
        <w:pStyle w:val="44"/>
        <w:spacing w:after="156"/>
        <w:rPr>
          <w:color w:val="000000"/>
        </w:rPr>
      </w:pPr>
      <w:bookmarkStart w:id="405" w:name="_Toc13907"/>
      <w:bookmarkStart w:id="406" w:name="_Toc23240"/>
      <w:bookmarkStart w:id="407" w:name="_Toc155604599"/>
      <w:bookmarkStart w:id="408" w:name="_Toc155714318"/>
      <w:bookmarkStart w:id="409" w:name="_Toc155714378"/>
      <w:bookmarkStart w:id="410" w:name="_Toc155628760"/>
      <w:bookmarkStart w:id="411" w:name="_Toc155628823"/>
      <w:r>
        <w:rPr>
          <w:rFonts w:hint="eastAsia"/>
          <w:color w:val="000000"/>
          <w:spacing w:val="105"/>
        </w:rPr>
        <w:t>参考文</w:t>
      </w:r>
      <w:r>
        <w:rPr>
          <w:rFonts w:hint="eastAsia"/>
          <w:color w:val="000000"/>
        </w:rPr>
        <w:t>献</w:t>
      </w:r>
      <w:bookmarkEnd w:id="405"/>
    </w:p>
    <w:p w14:paraId="470BE5B5">
      <w:pPr>
        <w:pStyle w:val="10"/>
        <w:numPr>
          <w:ilvl w:val="0"/>
          <w:numId w:val="94"/>
        </w:numPr>
        <w:snapToGrid w:val="0"/>
        <w:spacing w:after="0" w:line="220" w:lineRule="auto"/>
        <w:rPr>
          <w:rFonts w:ascii="宋体" w:hAnsi="宋体" w:cs="宋体"/>
          <w:color w:val="000000"/>
          <w:spacing w:val="-1"/>
        </w:rPr>
      </w:pPr>
      <w:r>
        <w:rPr>
          <w:rFonts w:hint="eastAsia" w:ascii="宋体" w:hAnsi="宋体" w:cs="宋体"/>
          <w:color w:val="000000"/>
          <w:spacing w:val="-1"/>
          <w:shd w:val="clear" w:color="auto" w:fill="FFFFFF"/>
        </w:rPr>
        <w:t>GB/T</w:t>
      </w:r>
      <w:r>
        <w:rPr>
          <w:rFonts w:ascii="宋体" w:hAnsi="宋体" w:cs="宋体"/>
          <w:color w:val="000000"/>
          <w:spacing w:val="-1"/>
          <w:shd w:val="clear" w:color="auto" w:fill="FFFFFF"/>
        </w:rPr>
        <w:t xml:space="preserve"> </w:t>
      </w:r>
      <w:r>
        <w:rPr>
          <w:rFonts w:hint="eastAsia" w:ascii="宋体" w:hAnsi="宋体" w:cs="宋体"/>
          <w:color w:val="000000"/>
          <w:spacing w:val="-1"/>
          <w:shd w:val="clear" w:color="auto" w:fill="FFFFFF"/>
        </w:rPr>
        <w:t xml:space="preserve">23691  </w:t>
      </w:r>
      <w:r>
        <w:rPr>
          <w:rFonts w:hint="eastAsia" w:ascii="宋体" w:hAnsi="宋体" w:cs="宋体"/>
          <w:bCs/>
          <w:color w:val="000000"/>
          <w:spacing w:val="-1"/>
        </w:rPr>
        <w:t>项目管理术语</w:t>
      </w:r>
    </w:p>
    <w:p w14:paraId="0B65CE6D">
      <w:pPr>
        <w:pStyle w:val="10"/>
        <w:numPr>
          <w:ilvl w:val="0"/>
          <w:numId w:val="94"/>
        </w:numPr>
        <w:snapToGrid w:val="0"/>
        <w:spacing w:after="0" w:line="219" w:lineRule="auto"/>
        <w:rPr>
          <w:rFonts w:ascii="宋体" w:hAnsi="宋体" w:cs="宋体"/>
          <w:color w:val="000000"/>
        </w:rPr>
      </w:pPr>
      <w:r>
        <w:rPr>
          <w:rFonts w:hint="eastAsia" w:ascii="宋体" w:hAnsi="宋体" w:cs="宋体"/>
          <w:color w:val="000000"/>
          <w:spacing w:val="-1"/>
        </w:rPr>
        <w:t>GB/Z</w:t>
      </w:r>
      <w:r>
        <w:rPr>
          <w:rFonts w:ascii="宋体" w:hAnsi="宋体" w:cs="宋体"/>
          <w:color w:val="000000"/>
          <w:spacing w:val="-1"/>
        </w:rPr>
        <w:t xml:space="preserve"> </w:t>
      </w:r>
      <w:r>
        <w:rPr>
          <w:rFonts w:hint="eastAsia" w:ascii="宋体" w:hAnsi="宋体" w:cs="宋体"/>
          <w:color w:val="000000"/>
          <w:spacing w:val="-2"/>
        </w:rPr>
        <w:t xml:space="preserve">40846  </w:t>
      </w:r>
      <w:r>
        <w:rPr>
          <w:rFonts w:hint="eastAsia" w:ascii="宋体" w:hAnsi="宋体" w:cs="宋体"/>
          <w:color w:val="000000"/>
        </w:rPr>
        <w:t>工程咨询基本术语</w:t>
      </w:r>
    </w:p>
    <w:p w14:paraId="31A81F23">
      <w:pPr>
        <w:pStyle w:val="10"/>
        <w:numPr>
          <w:ilvl w:val="0"/>
          <w:numId w:val="94"/>
        </w:numPr>
        <w:snapToGrid w:val="0"/>
        <w:spacing w:after="0" w:line="220" w:lineRule="auto"/>
        <w:rPr>
          <w:rFonts w:ascii="宋体" w:hAnsi="宋体" w:cs="宋体"/>
          <w:color w:val="000000"/>
        </w:rPr>
      </w:pPr>
      <w:r>
        <w:rPr>
          <w:rFonts w:hint="eastAsia" w:ascii="宋体" w:hAnsi="宋体" w:cs="宋体"/>
          <w:color w:val="000000"/>
          <w:spacing w:val="-1"/>
        </w:rPr>
        <w:t>GB/T</w:t>
      </w:r>
      <w:r>
        <w:rPr>
          <w:rFonts w:ascii="宋体" w:hAnsi="宋体" w:cs="宋体"/>
          <w:color w:val="000000"/>
          <w:spacing w:val="-1"/>
        </w:rPr>
        <w:t xml:space="preserve"> </w:t>
      </w:r>
      <w:r>
        <w:rPr>
          <w:rFonts w:hint="eastAsia" w:ascii="宋体" w:hAnsi="宋体" w:cs="宋体"/>
          <w:color w:val="000000"/>
          <w:spacing w:val="-1"/>
        </w:rPr>
        <w:t>50252  工业安装工程施工质量验收统一标准</w:t>
      </w:r>
    </w:p>
    <w:p w14:paraId="1A5A2B1E">
      <w:pPr>
        <w:pStyle w:val="10"/>
        <w:numPr>
          <w:ilvl w:val="0"/>
          <w:numId w:val="94"/>
        </w:numPr>
        <w:snapToGrid w:val="0"/>
        <w:spacing w:after="0" w:line="220" w:lineRule="auto"/>
        <w:rPr>
          <w:rFonts w:ascii="宋体" w:hAnsi="宋体" w:cs="宋体"/>
          <w:color w:val="000000"/>
        </w:rPr>
      </w:pPr>
      <w:r>
        <w:rPr>
          <w:rFonts w:hint="eastAsia" w:ascii="宋体" w:hAnsi="宋体" w:cs="宋体"/>
          <w:color w:val="000000"/>
          <w:spacing w:val="-1"/>
        </w:rPr>
        <w:t>GB</w:t>
      </w:r>
      <w:r>
        <w:rPr>
          <w:rFonts w:ascii="宋体" w:hAnsi="宋体" w:cs="宋体"/>
          <w:color w:val="000000"/>
          <w:spacing w:val="-1"/>
        </w:rPr>
        <w:t xml:space="preserve"> </w:t>
      </w:r>
      <w:r>
        <w:rPr>
          <w:rFonts w:hint="eastAsia" w:ascii="宋体" w:hAnsi="宋体" w:cs="宋体"/>
          <w:color w:val="000000"/>
          <w:spacing w:val="-1"/>
        </w:rPr>
        <w:t>50300  建筑工程施工质量验收统一标准</w:t>
      </w:r>
    </w:p>
    <w:p w14:paraId="549A4224">
      <w:pPr>
        <w:pStyle w:val="10"/>
        <w:numPr>
          <w:ilvl w:val="0"/>
          <w:numId w:val="94"/>
        </w:numPr>
        <w:snapToGrid w:val="0"/>
        <w:spacing w:after="0" w:line="218" w:lineRule="auto"/>
        <w:rPr>
          <w:rFonts w:ascii="宋体" w:hAnsi="宋体" w:cs="宋体"/>
          <w:color w:val="000000"/>
        </w:rPr>
      </w:pPr>
      <w:r>
        <w:rPr>
          <w:rFonts w:hint="eastAsia" w:ascii="宋体" w:hAnsi="宋体" w:cs="宋体"/>
          <w:color w:val="000000"/>
          <w:spacing w:val="-1"/>
        </w:rPr>
        <w:t>GB/T</w:t>
      </w:r>
      <w:r>
        <w:rPr>
          <w:rFonts w:ascii="宋体" w:hAnsi="宋体" w:cs="宋体"/>
          <w:color w:val="000000"/>
          <w:spacing w:val="-1"/>
        </w:rPr>
        <w:t xml:space="preserve"> </w:t>
      </w:r>
      <w:r>
        <w:rPr>
          <w:rFonts w:hint="eastAsia" w:ascii="宋体" w:hAnsi="宋体" w:cs="宋体"/>
          <w:color w:val="000000"/>
          <w:spacing w:val="-1"/>
        </w:rPr>
        <w:t>50375  建筑工程施工质量评价标准</w:t>
      </w:r>
    </w:p>
    <w:p w14:paraId="6C6C81D0">
      <w:pPr>
        <w:pStyle w:val="10"/>
        <w:numPr>
          <w:ilvl w:val="0"/>
          <w:numId w:val="94"/>
        </w:numPr>
        <w:snapToGrid w:val="0"/>
        <w:spacing w:after="0" w:line="219" w:lineRule="auto"/>
        <w:rPr>
          <w:rFonts w:ascii="宋体" w:hAnsi="宋体" w:cs="宋体"/>
          <w:color w:val="000000"/>
        </w:rPr>
      </w:pPr>
      <w:r>
        <w:rPr>
          <w:rFonts w:hint="eastAsia" w:ascii="宋体" w:hAnsi="宋体" w:cs="宋体"/>
          <w:color w:val="000000"/>
          <w:spacing w:val="-1"/>
        </w:rPr>
        <w:t>GB/T</w:t>
      </w:r>
      <w:r>
        <w:rPr>
          <w:rFonts w:ascii="宋体" w:hAnsi="宋体" w:cs="宋体"/>
          <w:color w:val="000000"/>
          <w:spacing w:val="-1"/>
        </w:rPr>
        <w:t xml:space="preserve"> </w:t>
      </w:r>
      <w:r>
        <w:rPr>
          <w:rFonts w:hint="eastAsia" w:ascii="宋体" w:hAnsi="宋体" w:cs="宋体"/>
          <w:color w:val="000000"/>
          <w:spacing w:val="-2"/>
        </w:rPr>
        <w:t xml:space="preserve">50852  </w:t>
      </w:r>
      <w:r>
        <w:rPr>
          <w:rFonts w:hint="eastAsia" w:ascii="宋体" w:hAnsi="宋体" w:cs="宋体"/>
          <w:color w:val="000000"/>
        </w:rPr>
        <w:t>建筑工程咨询分类标准</w:t>
      </w:r>
    </w:p>
    <w:p w14:paraId="74D94869">
      <w:pPr>
        <w:pStyle w:val="10"/>
        <w:numPr>
          <w:ilvl w:val="0"/>
          <w:numId w:val="94"/>
        </w:numPr>
        <w:snapToGrid w:val="0"/>
        <w:spacing w:after="0" w:line="220" w:lineRule="auto"/>
        <w:rPr>
          <w:rFonts w:ascii="宋体" w:hAnsi="宋体" w:cs="宋体"/>
          <w:color w:val="000000"/>
          <w:spacing w:val="-1"/>
        </w:rPr>
      </w:pPr>
      <w:r>
        <w:rPr>
          <w:rFonts w:hint="eastAsia" w:ascii="宋体" w:hAnsi="宋体" w:cs="宋体"/>
          <w:color w:val="000000"/>
          <w:spacing w:val="-1"/>
        </w:rPr>
        <w:t>GB/T</w:t>
      </w:r>
      <w:r>
        <w:rPr>
          <w:rFonts w:ascii="宋体" w:hAnsi="宋体" w:cs="宋体"/>
          <w:color w:val="000000"/>
          <w:spacing w:val="-1"/>
        </w:rPr>
        <w:t xml:space="preserve"> </w:t>
      </w:r>
      <w:r>
        <w:rPr>
          <w:rFonts w:hint="eastAsia" w:ascii="宋体" w:hAnsi="宋体" w:cs="宋体"/>
          <w:color w:val="000000"/>
          <w:spacing w:val="-1"/>
        </w:rPr>
        <w:t>50905  建筑工程绿色施工规范</w:t>
      </w:r>
    </w:p>
    <w:p w14:paraId="6EE1A901">
      <w:pPr>
        <w:pStyle w:val="10"/>
        <w:numPr>
          <w:ilvl w:val="0"/>
          <w:numId w:val="94"/>
        </w:numPr>
        <w:snapToGrid w:val="0"/>
        <w:spacing w:after="0" w:line="220" w:lineRule="auto"/>
        <w:rPr>
          <w:rFonts w:ascii="宋体" w:hAnsi="宋体" w:cs="宋体"/>
          <w:color w:val="000000"/>
        </w:rPr>
      </w:pPr>
      <w:r>
        <w:rPr>
          <w:rFonts w:hint="eastAsia" w:ascii="宋体" w:hAnsi="宋体" w:cs="宋体"/>
          <w:color w:val="000000"/>
          <w:spacing w:val="-1"/>
        </w:rPr>
        <w:t>GB/T</w:t>
      </w:r>
      <w:r>
        <w:rPr>
          <w:rFonts w:ascii="宋体" w:hAnsi="宋体" w:cs="宋体"/>
          <w:color w:val="000000"/>
          <w:spacing w:val="-1"/>
        </w:rPr>
        <w:t xml:space="preserve"> </w:t>
      </w:r>
      <w:r>
        <w:rPr>
          <w:rFonts w:hint="eastAsia" w:ascii="宋体" w:hAnsi="宋体" w:cs="宋体"/>
          <w:color w:val="000000"/>
          <w:spacing w:val="-1"/>
        </w:rPr>
        <w:t>51095  建设工程造价咨询规范</w:t>
      </w:r>
    </w:p>
    <w:p w14:paraId="468C83ED">
      <w:pPr>
        <w:pStyle w:val="10"/>
        <w:numPr>
          <w:ilvl w:val="0"/>
          <w:numId w:val="94"/>
        </w:numPr>
        <w:snapToGrid w:val="0"/>
        <w:spacing w:after="0" w:line="220" w:lineRule="auto"/>
        <w:rPr>
          <w:rFonts w:ascii="宋体" w:hAnsi="宋体" w:cs="宋体"/>
          <w:color w:val="000000"/>
        </w:rPr>
      </w:pPr>
      <w:r>
        <w:rPr>
          <w:rFonts w:hint="eastAsia" w:ascii="宋体" w:hAnsi="宋体" w:cs="宋体"/>
          <w:color w:val="000000"/>
        </w:rPr>
        <w:t>DA/T</w:t>
      </w:r>
      <w:r>
        <w:rPr>
          <w:rFonts w:ascii="宋体" w:hAnsi="宋体" w:cs="宋体"/>
          <w:color w:val="000000"/>
        </w:rPr>
        <w:t xml:space="preserve"> </w:t>
      </w:r>
      <w:r>
        <w:rPr>
          <w:rFonts w:hint="eastAsia" w:ascii="宋体" w:hAnsi="宋体" w:cs="宋体"/>
          <w:color w:val="000000"/>
        </w:rPr>
        <w:t>28</w:t>
      </w:r>
      <w:r>
        <w:rPr>
          <w:rFonts w:hint="eastAsia" w:ascii="宋体" w:hAnsi="宋体" w:cs="宋体"/>
          <w:color w:val="000000"/>
          <w:spacing w:val="-2"/>
        </w:rPr>
        <w:t xml:space="preserve">  </w:t>
      </w:r>
      <w:r>
        <w:rPr>
          <w:rFonts w:hint="eastAsia" w:ascii="宋体" w:hAnsi="宋体" w:cs="宋体"/>
          <w:color w:val="000000"/>
        </w:rPr>
        <w:t>建设项目档案管理规范</w:t>
      </w:r>
    </w:p>
    <w:p w14:paraId="0C5CF9D3">
      <w:pPr>
        <w:pStyle w:val="10"/>
        <w:numPr>
          <w:ilvl w:val="0"/>
          <w:numId w:val="94"/>
        </w:numPr>
        <w:snapToGrid w:val="0"/>
        <w:spacing w:after="0" w:line="220" w:lineRule="auto"/>
        <w:rPr>
          <w:rFonts w:ascii="宋体" w:hAnsi="宋体" w:cs="宋体"/>
          <w:color w:val="000000"/>
        </w:rPr>
      </w:pPr>
      <w:r>
        <w:rPr>
          <w:rFonts w:hint="eastAsia" w:ascii="宋体" w:hAnsi="宋体" w:cs="宋体"/>
          <w:color w:val="000000"/>
          <w:spacing w:val="-1"/>
        </w:rPr>
        <w:t>DL/T</w:t>
      </w:r>
      <w:r>
        <w:rPr>
          <w:rFonts w:ascii="宋体" w:hAnsi="宋体" w:cs="宋体"/>
          <w:color w:val="000000"/>
          <w:spacing w:val="-1"/>
        </w:rPr>
        <w:t xml:space="preserve"> </w:t>
      </w:r>
      <w:r>
        <w:rPr>
          <w:rFonts w:hint="eastAsia" w:ascii="宋体" w:hAnsi="宋体" w:cs="宋体"/>
          <w:color w:val="000000"/>
          <w:spacing w:val="-1"/>
        </w:rPr>
        <w:t>586</w:t>
      </w:r>
      <w:r>
        <w:rPr>
          <w:rFonts w:hint="eastAsia" w:ascii="宋体" w:hAnsi="宋体" w:cs="宋体"/>
          <w:color w:val="000000"/>
          <w:spacing w:val="-2"/>
        </w:rPr>
        <w:t xml:space="preserve">  </w:t>
      </w:r>
      <w:r>
        <w:rPr>
          <w:rFonts w:hint="eastAsia" w:ascii="宋体" w:hAnsi="宋体" w:cs="宋体"/>
          <w:color w:val="000000"/>
          <w:spacing w:val="-1"/>
        </w:rPr>
        <w:t>电力设备监造技术导则</w:t>
      </w:r>
    </w:p>
    <w:p w14:paraId="48A91E22">
      <w:pPr>
        <w:pStyle w:val="10"/>
        <w:numPr>
          <w:ilvl w:val="0"/>
          <w:numId w:val="94"/>
        </w:numPr>
        <w:snapToGrid w:val="0"/>
        <w:spacing w:after="0" w:line="219" w:lineRule="auto"/>
        <w:rPr>
          <w:rFonts w:ascii="宋体" w:hAnsi="宋体" w:cs="宋体"/>
          <w:color w:val="000000"/>
        </w:rPr>
      </w:pPr>
      <w:r>
        <w:rPr>
          <w:rFonts w:hint="eastAsia" w:ascii="宋体" w:hAnsi="宋体" w:cs="宋体"/>
          <w:color w:val="000000"/>
          <w:spacing w:val="-1"/>
        </w:rPr>
        <w:t>国办发〔2017〕19号</w:t>
      </w:r>
      <w:r>
        <w:rPr>
          <w:rFonts w:hint="eastAsia" w:ascii="宋体" w:hAnsi="宋体" w:cs="宋体"/>
          <w:color w:val="000000"/>
          <w:spacing w:val="-2"/>
        </w:rPr>
        <w:t xml:space="preserve">  </w:t>
      </w:r>
      <w:r>
        <w:rPr>
          <w:rFonts w:hint="eastAsia" w:ascii="宋体" w:hAnsi="宋体" w:cs="宋体"/>
          <w:color w:val="000000"/>
          <w:spacing w:val="-1"/>
        </w:rPr>
        <w:t>国务院办公厅关于促进建筑业</w:t>
      </w:r>
      <w:r>
        <w:rPr>
          <w:rFonts w:hint="eastAsia" w:ascii="宋体" w:hAnsi="宋体" w:cs="宋体"/>
          <w:color w:val="000000"/>
          <w:spacing w:val="-2"/>
        </w:rPr>
        <w:t>持续健康发展的意见</w:t>
      </w:r>
    </w:p>
    <w:p w14:paraId="3BE9512D">
      <w:pPr>
        <w:pStyle w:val="10"/>
        <w:numPr>
          <w:ilvl w:val="0"/>
          <w:numId w:val="94"/>
        </w:numPr>
        <w:snapToGrid w:val="0"/>
        <w:spacing w:after="0" w:line="220" w:lineRule="auto"/>
        <w:rPr>
          <w:rFonts w:ascii="宋体" w:hAnsi="宋体" w:cs="宋体"/>
          <w:color w:val="000000"/>
        </w:rPr>
      </w:pPr>
      <w:r>
        <w:rPr>
          <w:rFonts w:hint="eastAsia" w:ascii="宋体" w:hAnsi="宋体" w:cs="宋体"/>
          <w:color w:val="000000"/>
          <w:spacing w:val="-1"/>
        </w:rPr>
        <w:t>建市〔2017〕101号</w:t>
      </w:r>
      <w:r>
        <w:rPr>
          <w:rFonts w:hint="eastAsia" w:ascii="宋体" w:hAnsi="宋体" w:cs="宋体"/>
          <w:color w:val="000000"/>
          <w:spacing w:val="-2"/>
        </w:rPr>
        <w:t xml:space="preserve">  </w:t>
      </w:r>
      <w:r>
        <w:rPr>
          <w:rFonts w:hint="eastAsia" w:ascii="宋体" w:hAnsi="宋体" w:cs="宋体"/>
          <w:color w:val="000000"/>
          <w:spacing w:val="-1"/>
        </w:rPr>
        <w:t>住房城乡建设部关于开展全过程工程咨询试点工作的通知</w:t>
      </w:r>
    </w:p>
    <w:p w14:paraId="31F5C130">
      <w:pPr>
        <w:pStyle w:val="10"/>
        <w:numPr>
          <w:ilvl w:val="0"/>
          <w:numId w:val="94"/>
        </w:numPr>
        <w:snapToGrid w:val="0"/>
        <w:spacing w:after="0" w:line="219" w:lineRule="auto"/>
        <w:rPr>
          <w:rFonts w:ascii="宋体" w:hAnsi="宋体" w:cs="宋体"/>
          <w:color w:val="000000"/>
          <w:spacing w:val="-1"/>
        </w:rPr>
      </w:pPr>
      <w:r>
        <w:rPr>
          <w:rFonts w:hint="eastAsia" w:ascii="宋体" w:hAnsi="宋体" w:cs="宋体"/>
          <w:color w:val="000000"/>
          <w:spacing w:val="-1"/>
        </w:rPr>
        <w:t>建市〔2017〕145号</w:t>
      </w:r>
      <w:r>
        <w:rPr>
          <w:rFonts w:hint="eastAsia" w:ascii="宋体" w:hAnsi="宋体" w:cs="宋体"/>
          <w:color w:val="000000"/>
          <w:spacing w:val="-2"/>
        </w:rPr>
        <w:t xml:space="preserve">  </w:t>
      </w:r>
      <w:r>
        <w:rPr>
          <w:rFonts w:hint="eastAsia" w:ascii="宋体" w:hAnsi="宋体" w:cs="宋体"/>
          <w:color w:val="000000"/>
          <w:spacing w:val="-1"/>
        </w:rPr>
        <w:t>住房城乡建设部关于促进工程监理行业转型升级创新发展的意见</w:t>
      </w:r>
    </w:p>
    <w:p w14:paraId="25E1402B">
      <w:pPr>
        <w:pStyle w:val="10"/>
        <w:numPr>
          <w:ilvl w:val="0"/>
          <w:numId w:val="94"/>
        </w:numPr>
        <w:snapToGrid w:val="0"/>
        <w:spacing w:after="0" w:line="220" w:lineRule="auto"/>
        <w:rPr>
          <w:rFonts w:ascii="宋体" w:hAnsi="宋体" w:cs="宋体"/>
          <w:color w:val="000000"/>
          <w:spacing w:val="-1"/>
        </w:rPr>
      </w:pPr>
      <w:r>
        <w:rPr>
          <w:rFonts w:hint="eastAsia" w:ascii="宋体" w:hAnsi="宋体" w:cs="宋体"/>
          <w:color w:val="000000"/>
          <w:spacing w:val="-1"/>
        </w:rPr>
        <w:t>发改投资规〔2019〕515号  国家发展改革委 住房城乡建设部关于推进全过程工程咨询服务发展的指导意见</w:t>
      </w:r>
    </w:p>
    <w:p w14:paraId="3506353F">
      <w:pPr>
        <w:pStyle w:val="10"/>
        <w:numPr>
          <w:ilvl w:val="0"/>
          <w:numId w:val="94"/>
        </w:numPr>
        <w:snapToGrid w:val="0"/>
        <w:spacing w:after="0" w:line="220" w:lineRule="auto"/>
        <w:rPr>
          <w:rFonts w:ascii="宋体" w:hAnsi="宋体" w:cs="宋体"/>
          <w:color w:val="000000"/>
          <w:spacing w:val="-1"/>
        </w:rPr>
      </w:pPr>
      <w:r>
        <w:rPr>
          <w:rFonts w:hint="eastAsia" w:ascii="宋体" w:hAnsi="宋体" w:cs="宋体"/>
          <w:color w:val="000000"/>
          <w:spacing w:val="-1"/>
        </w:rPr>
        <w:t>DL/T 2583-2022《电网项目全过程工程咨询服务导则》</w:t>
      </w:r>
    </w:p>
    <w:p w14:paraId="4F8B0282">
      <w:pPr>
        <w:pStyle w:val="10"/>
        <w:numPr>
          <w:ilvl w:val="0"/>
          <w:numId w:val="94"/>
        </w:numPr>
        <w:snapToGrid w:val="0"/>
        <w:spacing w:after="0" w:line="220" w:lineRule="auto"/>
        <w:rPr>
          <w:rFonts w:ascii="宋体" w:hAnsi="宋体" w:cs="宋体"/>
          <w:color w:val="000000"/>
          <w:spacing w:val="-1"/>
        </w:rPr>
      </w:pPr>
      <w:r>
        <w:rPr>
          <w:rFonts w:hint="eastAsia" w:ascii="宋体" w:hAnsi="宋体" w:cs="宋体"/>
          <w:color w:val="000000"/>
          <w:spacing w:val="-1"/>
        </w:rPr>
        <w:t>铺设海底电缆管道管理规定实施办法</w:t>
      </w:r>
    </w:p>
    <w:p w14:paraId="55E3EB73">
      <w:pPr>
        <w:pStyle w:val="10"/>
        <w:numPr>
          <w:ilvl w:val="0"/>
          <w:numId w:val="94"/>
        </w:numPr>
        <w:snapToGrid w:val="0"/>
        <w:spacing w:after="0" w:line="220" w:lineRule="auto"/>
        <w:rPr>
          <w:rFonts w:ascii="宋体" w:hAnsi="宋体" w:cs="宋体"/>
          <w:color w:val="000000"/>
          <w:spacing w:val="-1"/>
        </w:rPr>
      </w:pPr>
      <w:r>
        <w:rPr>
          <w:rFonts w:hint="eastAsia" w:ascii="宋体" w:hAnsi="宋体" w:cs="宋体"/>
          <w:color w:val="000000"/>
          <w:spacing w:val="-1"/>
        </w:rPr>
        <w:t>自然资源部关于优化海底电缆管道路由调查勘测、铺设施工和海域使用审批的公告</w:t>
      </w:r>
    </w:p>
    <w:p w14:paraId="2DA099A7">
      <w:pPr>
        <w:pStyle w:val="10"/>
        <w:numPr>
          <w:ilvl w:val="0"/>
          <w:numId w:val="94"/>
        </w:numPr>
        <w:snapToGrid w:val="0"/>
        <w:spacing w:line="220" w:lineRule="auto"/>
        <w:rPr>
          <w:rFonts w:hint="eastAsia" w:ascii="宋体" w:hAnsi="宋体" w:cs="宋体"/>
          <w:color w:val="000000"/>
          <w:spacing w:val="-1"/>
        </w:rPr>
      </w:pPr>
      <w:r>
        <w:rPr>
          <w:rFonts w:hint="eastAsia" w:ascii="宋体" w:hAnsi="宋体" w:cs="宋体"/>
          <w:color w:val="000000"/>
          <w:spacing w:val="-1"/>
          <w:highlight w:val="none"/>
        </w:rPr>
        <w:t>T/CEPCA1001.1 电力建设全过程工程咨询导则  第1部分输变电工程</w:t>
      </w:r>
    </w:p>
    <w:p w14:paraId="2D19A14D">
      <w:pPr>
        <w:pStyle w:val="10"/>
        <w:numPr>
          <w:ilvl w:val="0"/>
          <w:numId w:val="94"/>
        </w:numPr>
        <w:snapToGrid w:val="0"/>
        <w:spacing w:line="220" w:lineRule="auto"/>
        <w:rPr>
          <w:rFonts w:hint="eastAsia" w:ascii="宋体" w:hAnsi="宋体" w:cs="宋体"/>
          <w:color w:val="000000"/>
          <w:spacing w:val="-1"/>
        </w:rPr>
      </w:pPr>
      <w:r>
        <w:rPr>
          <w:rFonts w:hint="eastAsia" w:ascii="宋体" w:hAnsi="宋体" w:cs="宋体"/>
          <w:color w:val="000000"/>
          <w:spacing w:val="-1"/>
          <w:highlight w:val="none"/>
        </w:rPr>
        <w:t>T/CEPCA1001.2 电力建设全过程工程咨询导则  第2部分火电工程</w:t>
      </w:r>
    </w:p>
    <w:bookmarkEnd w:id="21"/>
    <w:bookmarkEnd w:id="406"/>
    <w:bookmarkEnd w:id="407"/>
    <w:bookmarkEnd w:id="408"/>
    <w:bookmarkEnd w:id="409"/>
    <w:bookmarkEnd w:id="410"/>
    <w:bookmarkEnd w:id="411"/>
    <w:p w14:paraId="1B07ABEA">
      <w:pPr>
        <w:pStyle w:val="28"/>
        <w:rPr>
          <w:rFonts w:hint="eastAsia" w:ascii="宋体" w:hAnsi="宋体" w:eastAsia="宋体" w:cs="宋体"/>
          <w:color w:val="000000"/>
          <w:sz w:val="21"/>
          <w:szCs w:val="20"/>
          <w:lang w:eastAsia="zh"/>
        </w:rPr>
      </w:pPr>
    </w:p>
    <w:sectPr>
      <w:pgSz w:w="11906" w:h="16838"/>
      <w:pgMar w:top="1440" w:right="1800" w:bottom="1440" w:left="180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井底蛙" w:date="2026-06-16T10:03:00Z" w:initials="">
    <w:p w14:paraId="74235302">
      <w:pPr>
        <w:pStyle w:val="9"/>
        <w:rPr>
          <w:rFonts w:hint="default" w:eastAsia="宋体"/>
          <w:lang w:val="en-US" w:eastAsia="zh-CN"/>
        </w:rPr>
      </w:pPr>
      <w:r>
        <w:rPr>
          <w:rFonts w:hint="eastAsia"/>
          <w:lang w:val="en-US" w:eastAsia="zh-CN"/>
        </w:rPr>
        <w:t>修改定义</w:t>
      </w:r>
    </w:p>
  </w:comment>
  <w:comment w:id="1" w:author="井底蛙" w:date="2026-06-16T10:33:00Z" w:initials="">
    <w:p w14:paraId="7B06BA4E">
      <w:pPr>
        <w:pStyle w:val="9"/>
        <w:rPr>
          <w:rFonts w:hint="default" w:eastAsia="宋体"/>
          <w:lang w:val="en-US" w:eastAsia="zh-CN"/>
        </w:rPr>
      </w:pPr>
      <w:r>
        <w:rPr>
          <w:rFonts w:hint="eastAsia"/>
          <w:lang w:val="en-US" w:eastAsia="zh-CN"/>
        </w:rPr>
        <w:t>核对数字，同下</w:t>
      </w:r>
    </w:p>
  </w:comment>
  <w:comment w:id="2" w:author="井底蛙" w:date="2026-06-16T11:32:00Z" w:initials="">
    <w:p w14:paraId="06448D30">
      <w:pPr>
        <w:pStyle w:val="9"/>
        <w:rPr>
          <w:rFonts w:hint="default" w:eastAsia="宋体"/>
          <w:lang w:val="en-US" w:eastAsia="zh-CN"/>
        </w:rPr>
      </w:pPr>
      <w:r>
        <w:rPr>
          <w:rFonts w:hint="eastAsia"/>
          <w:lang w:val="en-US" w:eastAsia="zh-CN"/>
        </w:rPr>
        <w:t>按邓总意思增加</w:t>
      </w:r>
    </w:p>
  </w:comment>
  <w:comment w:id="3" w:author="井底蛙" w:date="2026-06-16T11:48:00Z" w:initials="">
    <w:p w14:paraId="4B5FDA55">
      <w:pPr>
        <w:pStyle w:val="9"/>
        <w:rPr>
          <w:rFonts w:hint="default" w:eastAsia="宋体"/>
          <w:lang w:val="en-US" w:eastAsia="zh-CN"/>
        </w:rPr>
      </w:pPr>
      <w:r>
        <w:rPr>
          <w:rFonts w:hint="eastAsia"/>
          <w:lang w:val="en-US" w:eastAsia="zh-CN"/>
        </w:rPr>
        <w:t>核实是否有这个</w:t>
      </w:r>
    </w:p>
  </w:comment>
  <w:comment w:id="4" w:author="傅遥" w:date="2026-06-28T15:22:00Z" w:initials="傅">
    <w:p w14:paraId="5E866CAC">
      <w:pPr>
        <w:pStyle w:val="9"/>
      </w:pPr>
      <w:r>
        <w:rPr>
          <w:rFonts w:hint="eastAsia"/>
          <w:color w:val="000000"/>
          <w:highlight w:val="green"/>
          <w:lang w:val="en-US" w:eastAsia="zh-CN"/>
        </w:rPr>
        <w:t>（以上内容出自</w:t>
      </w:r>
      <w:r>
        <w:rPr>
          <w:rStyle w:val="23"/>
          <w:rFonts w:hint="eastAsia" w:ascii="宋体" w:hAnsi="Times New Roman" w:eastAsia="宋体" w:cs="Times New Roman"/>
          <w:b w:val="0"/>
          <w:bCs w:val="0"/>
          <w:i w:val="0"/>
          <w:iCs w:val="0"/>
          <w:caps w:val="0"/>
          <w:color w:val="000000"/>
          <w:spacing w:val="0"/>
          <w:sz w:val="21"/>
          <w:szCs w:val="20"/>
          <w:highlight w:val="green"/>
          <w:shd w:val="clear" w:color="auto" w:fill="auto"/>
        </w:rPr>
        <w:t>《中华人民共和国航道法》《中华人民共和国海上交通安全法》《航道通航条件影响评价管理办法》</w:t>
      </w:r>
      <w:r>
        <w:rPr>
          <w:rStyle w:val="23"/>
          <w:rFonts w:hint="eastAsia" w:ascii="宋体" w:hAnsi="Times New Roman" w:cs="Times New Roman"/>
          <w:b w:val="0"/>
          <w:bCs w:val="0"/>
          <w:i w:val="0"/>
          <w:iCs w:val="0"/>
          <w:caps w:val="0"/>
          <w:color w:val="000000"/>
          <w:spacing w:val="0"/>
          <w:sz w:val="21"/>
          <w:szCs w:val="20"/>
          <w:highlight w:val="green"/>
          <w:shd w:val="clear" w:color="auto" w:fill="auto"/>
          <w:lang w:eastAsia="zh-CN"/>
        </w:rPr>
        <w:t>）</w:t>
      </w:r>
    </w:p>
  </w:comment>
  <w:comment w:id="5" w:author="井底蛙" w:date="2026-06-16T14:26:00Z" w:initials="">
    <w:p w14:paraId="1CC8341D">
      <w:pPr>
        <w:pStyle w:val="9"/>
        <w:rPr>
          <w:rFonts w:hint="default" w:eastAsia="宋体"/>
          <w:lang w:val="en-US" w:eastAsia="zh-CN"/>
        </w:rPr>
      </w:pPr>
      <w:r>
        <w:rPr>
          <w:rFonts w:hint="eastAsia"/>
          <w:lang w:val="en-US" w:eastAsia="zh-CN"/>
        </w:rPr>
        <w:t>补充完善</w:t>
      </w:r>
    </w:p>
  </w:comment>
  <w:comment w:id="6" w:author="井底蛙" w:date="2026-06-16T14:43:00Z" w:initials="">
    <w:p w14:paraId="77DC4696">
      <w:pPr>
        <w:pStyle w:val="9"/>
        <w:rPr>
          <w:rFonts w:hint="default" w:eastAsia="宋体"/>
          <w:lang w:val="en-US" w:eastAsia="zh-CN"/>
        </w:rPr>
      </w:pPr>
      <w:r>
        <w:rPr>
          <w:rFonts w:hint="eastAsia"/>
          <w:lang w:val="en-US" w:eastAsia="zh-CN"/>
        </w:rPr>
        <w:t>补充一些环境保护的要求</w:t>
      </w:r>
    </w:p>
  </w:comment>
  <w:comment w:id="7" w:author="井底蛙" w:date="2026-06-16T14:28:00Z" w:initials="">
    <w:p w14:paraId="7F4F390C">
      <w:pPr>
        <w:pStyle w:val="9"/>
        <w:rPr>
          <w:rFonts w:hint="default" w:eastAsia="宋体"/>
          <w:lang w:val="en-US" w:eastAsia="zh-CN"/>
        </w:rPr>
      </w:pPr>
      <w:r>
        <w:rPr>
          <w:rFonts w:hint="eastAsia"/>
          <w:lang w:val="en-US" w:eastAsia="zh-CN"/>
        </w:rPr>
        <w:t>增加海光窗口期等描述</w:t>
      </w:r>
    </w:p>
  </w:comment>
  <w:comment w:id="8" w:author="井底蛙" w:date="2026-06-16T15:04:00Z" w:initials="">
    <w:p w14:paraId="6CAE31C8">
      <w:pPr>
        <w:pStyle w:val="9"/>
        <w:rPr>
          <w:rFonts w:hint="default" w:eastAsia="宋体"/>
          <w:lang w:val="en-US" w:eastAsia="zh-CN"/>
        </w:rPr>
      </w:pPr>
      <w:r>
        <w:rPr>
          <w:rFonts w:hint="eastAsia"/>
          <w:lang w:val="en-US" w:eastAsia="zh-CN"/>
        </w:rPr>
        <w:t>修改内容</w:t>
      </w:r>
    </w:p>
  </w:comment>
  <w:comment w:id="9" w:author="井底蛙" w:date="2026-06-16T15:11:00Z" w:initials="">
    <w:p w14:paraId="3E511712">
      <w:pPr>
        <w:pStyle w:val="9"/>
        <w:rPr>
          <w:rFonts w:hint="default" w:eastAsia="宋体"/>
          <w:lang w:val="en-US" w:eastAsia="zh-CN"/>
        </w:rPr>
      </w:pPr>
      <w:r>
        <w:rPr>
          <w:rFonts w:hint="eastAsia"/>
          <w:lang w:val="en-US" w:eastAsia="zh-CN"/>
        </w:rPr>
        <w:t>改为建设单位，核查全文</w:t>
      </w:r>
    </w:p>
  </w:comment>
  <w:comment w:id="10" w:author="井底蛙" w:date="2026-06-16T15:44:00Z" w:initials="">
    <w:p w14:paraId="3488FBBA">
      <w:pPr>
        <w:pStyle w:val="9"/>
        <w:rPr>
          <w:rFonts w:hint="default" w:eastAsia="宋体"/>
          <w:lang w:val="en-US" w:eastAsia="zh-CN"/>
        </w:rPr>
      </w:pPr>
      <w:r>
        <w:rPr>
          <w:rFonts w:hint="eastAsia"/>
          <w:lang w:val="en-US" w:eastAsia="zh-CN"/>
        </w:rPr>
        <w:t>不用简称，改全名</w:t>
      </w:r>
    </w:p>
  </w:comment>
  <w:comment w:id="11" w:author="葉婷" w:date="2026-06-22T08:21:00Z" w:initials="">
    <w:p w14:paraId="28336FD4">
      <w:pPr>
        <w:pStyle w:val="9"/>
        <w:rPr>
          <w:rFonts w:hint="default" w:eastAsia="宋体"/>
          <w:lang w:val="en-US" w:eastAsia="zh-CN"/>
        </w:rPr>
      </w:pPr>
      <w:r>
        <w:rPr>
          <w:rFonts w:hint="eastAsia"/>
          <w:lang w:val="en-US" w:eastAsia="zh-CN"/>
        </w:rPr>
        <w:t>已修改</w:t>
      </w:r>
    </w:p>
  </w:comment>
  <w:comment w:id="12" w:author="井底蛙" w:date="2026-06-16T15:53:00Z" w:initials="">
    <w:p w14:paraId="31C34C25">
      <w:pPr>
        <w:pStyle w:val="9"/>
        <w:rPr>
          <w:rFonts w:hint="default" w:eastAsia="宋体"/>
          <w:lang w:val="en-US" w:eastAsia="zh-CN"/>
        </w:rPr>
      </w:pPr>
      <w:r>
        <w:rPr>
          <w:rFonts w:hint="eastAsia"/>
          <w:lang w:val="en-US" w:eastAsia="zh-CN"/>
        </w:rPr>
        <w:t>补充海光的内容</w:t>
      </w:r>
    </w:p>
  </w:comment>
  <w:comment w:id="13" w:author="葉婷" w:date="2026-06-22T09:07:00Z" w:initials="">
    <w:p w14:paraId="1187109D">
      <w:pPr>
        <w:pStyle w:val="9"/>
        <w:rPr>
          <w:rFonts w:hint="default" w:eastAsia="宋体"/>
          <w:lang w:val="en-US" w:eastAsia="zh-CN"/>
        </w:rPr>
      </w:pPr>
      <w:r>
        <w:rPr>
          <w:rFonts w:hint="eastAsia"/>
          <w:lang w:val="en-US" w:eastAsia="zh-CN"/>
        </w:rPr>
        <w:t>已补充c、d</w:t>
      </w:r>
    </w:p>
  </w:comment>
  <w:comment w:id="14" w:author="井底蛙" w:date="2026-06-16T16:13:00Z" w:initials="">
    <w:p w14:paraId="4C4EDA49">
      <w:pPr>
        <w:pStyle w:val="9"/>
        <w:rPr>
          <w:rFonts w:hint="default" w:eastAsia="宋体"/>
          <w:lang w:val="en-US" w:eastAsia="zh-CN"/>
        </w:rPr>
      </w:pPr>
      <w:r>
        <w:rPr>
          <w:rFonts w:hint="eastAsia"/>
          <w:lang w:val="en-US" w:eastAsia="zh-CN"/>
        </w:rPr>
        <w:t>修改说法，不用“确保”，同下</w:t>
      </w:r>
    </w:p>
  </w:comment>
  <w:comment w:id="15" w:author="葉婷" w:date="2026-06-22T09:11:00Z" w:initials="">
    <w:p w14:paraId="682FF3DA">
      <w:pPr>
        <w:pStyle w:val="9"/>
        <w:rPr>
          <w:rFonts w:hint="default" w:eastAsia="宋体"/>
          <w:lang w:val="en-US" w:eastAsia="zh-CN"/>
        </w:rPr>
      </w:pPr>
      <w:r>
        <w:rPr>
          <w:rFonts w:hint="eastAsia"/>
          <w:lang w:val="en-US" w:eastAsia="zh-CN"/>
        </w:rPr>
        <w:t>已修改</w:t>
      </w:r>
    </w:p>
  </w:comment>
  <w:comment w:id="16" w:author="井底蛙" w:date="2026-06-16T16:26:00Z" w:initials="">
    <w:p w14:paraId="263374A0">
      <w:pPr>
        <w:pStyle w:val="9"/>
        <w:rPr>
          <w:rFonts w:hint="default" w:eastAsia="宋体"/>
          <w:lang w:val="en-US" w:eastAsia="zh-CN"/>
        </w:rPr>
      </w:pPr>
      <w:r>
        <w:rPr>
          <w:rFonts w:hint="eastAsia"/>
          <w:lang w:val="en-US" w:eastAsia="zh-CN"/>
        </w:rPr>
        <w:t>参考工程监理规范的写法</w:t>
      </w:r>
    </w:p>
  </w:comment>
  <w:comment w:id="17" w:author="葉婷" w:date="2026-06-22T09:38:00Z" w:initials="">
    <w:p w14:paraId="5F0DD9CC">
      <w:pPr>
        <w:pStyle w:val="9"/>
        <w:rPr>
          <w:rFonts w:hint="default" w:eastAsia="宋体"/>
          <w:lang w:val="en-US" w:eastAsia="zh-CN"/>
        </w:rPr>
      </w:pPr>
      <w:r>
        <w:rPr>
          <w:rFonts w:hint="eastAsia"/>
          <w:lang w:val="en-US" w:eastAsia="zh-CN"/>
        </w:rPr>
        <w:t>已完成</w:t>
      </w:r>
    </w:p>
  </w:comment>
  <w:comment w:id="18" w:author="井底蛙" w:date="2026-06-16T16:39:00Z" w:initials="">
    <w:p w14:paraId="2A0D1112">
      <w:pPr>
        <w:pStyle w:val="9"/>
        <w:rPr>
          <w:rFonts w:hint="default" w:eastAsia="宋体"/>
          <w:lang w:val="en-US" w:eastAsia="zh-CN"/>
        </w:rPr>
      </w:pPr>
      <w:r>
        <w:rPr>
          <w:rFonts w:hint="eastAsia"/>
          <w:lang w:val="en-US" w:eastAsia="zh-CN"/>
        </w:rPr>
        <w:t>增加智慧工地、BIM等内容</w:t>
      </w:r>
    </w:p>
  </w:comment>
  <w:comment w:id="19" w:author="井底蛙" w:date="2026-06-16T16:55:00Z" w:initials="">
    <w:p w14:paraId="313EAC46">
      <w:pPr>
        <w:pStyle w:val="9"/>
        <w:rPr>
          <w:rFonts w:hint="default" w:eastAsia="宋体"/>
          <w:lang w:val="en-US" w:eastAsia="zh-CN"/>
        </w:rPr>
      </w:pPr>
      <w:r>
        <w:rPr>
          <w:rFonts w:hint="eastAsia"/>
          <w:lang w:val="en-US" w:eastAsia="zh-CN"/>
        </w:rPr>
        <w:t>修改说法</w:t>
      </w:r>
    </w:p>
  </w:comment>
  <w:comment w:id="20" w:author="井底蛙" w:date="2026-06-16T17:55:00Z" w:initials="">
    <w:p w14:paraId="17330890">
      <w:pPr>
        <w:pStyle w:val="9"/>
        <w:rPr>
          <w:rFonts w:hint="default" w:eastAsia="宋体"/>
          <w:lang w:val="en-US" w:eastAsia="zh-CN"/>
        </w:rPr>
      </w:pPr>
      <w:r>
        <w:rPr>
          <w:rFonts w:hint="eastAsia"/>
          <w:lang w:val="en-US" w:eastAsia="zh-CN"/>
        </w:rPr>
        <w:t>增加发电量等技术经济指标</w:t>
      </w:r>
    </w:p>
  </w:comment>
  <w:comment w:id="21" w:author="井底蛙" w:date="2026-06-16T17:11:00Z" w:initials="">
    <w:p w14:paraId="49C54E9B">
      <w:pPr>
        <w:pStyle w:val="9"/>
        <w:rPr>
          <w:rFonts w:hint="default" w:eastAsia="宋体"/>
          <w:lang w:val="en-US" w:eastAsia="zh-CN"/>
        </w:rPr>
      </w:pPr>
      <w:r>
        <w:rPr>
          <w:rFonts w:hint="eastAsia"/>
          <w:lang w:val="en-US" w:eastAsia="zh-CN"/>
        </w:rPr>
        <w:t>修改写法</w:t>
      </w:r>
    </w:p>
  </w:comment>
  <w:comment w:id="22" w:author="井底蛙" w:date="2026-06-16T17:26:00Z" w:initials="">
    <w:p w14:paraId="46184068">
      <w:pPr>
        <w:pStyle w:val="9"/>
        <w:rPr>
          <w:rFonts w:hint="default" w:eastAsia="宋体"/>
          <w:lang w:val="en-US" w:eastAsia="zh-CN"/>
        </w:rPr>
      </w:pPr>
      <w:r>
        <w:rPr>
          <w:rFonts w:hint="eastAsia"/>
          <w:lang w:val="en-US" w:eastAsia="zh-CN"/>
        </w:rPr>
        <w:t>核实名称说法</w:t>
      </w:r>
    </w:p>
  </w:comment>
  <w:comment w:id="23" w:author="井底蛙" w:date="2026-06-16T17:21:00Z" w:initials="">
    <w:p w14:paraId="48A77E17">
      <w:pPr>
        <w:pStyle w:val="9"/>
        <w:rPr>
          <w:rFonts w:hint="default" w:eastAsia="宋体"/>
          <w:lang w:val="en-US" w:eastAsia="zh-CN"/>
        </w:rPr>
      </w:pPr>
      <w:r>
        <w:rPr>
          <w:rFonts w:hint="eastAsia"/>
          <w:lang w:val="en-US" w:eastAsia="zh-CN"/>
        </w:rPr>
        <w:t>修改说法</w:t>
      </w:r>
    </w:p>
  </w:comment>
  <w:comment w:id="24" w:author="井底蛙" w:date="2026-06-16T17:23:00Z" w:initials="">
    <w:p w14:paraId="60BD3F77">
      <w:pPr>
        <w:pStyle w:val="9"/>
        <w:rPr>
          <w:rFonts w:hint="default" w:eastAsia="宋体"/>
          <w:lang w:val="en-US" w:eastAsia="zh-CN"/>
        </w:rPr>
      </w:pPr>
      <w:r>
        <w:rPr>
          <w:rFonts w:hint="eastAsia"/>
          <w:lang w:val="en-US" w:eastAsia="zh-CN"/>
        </w:rPr>
        <w:t>修改说法</w:t>
      </w:r>
    </w:p>
    <w:p w14:paraId="047E51F4">
      <w:pPr>
        <w:pStyle w:val="9"/>
      </w:pPr>
    </w:p>
  </w:comment>
  <w:comment w:id="25" w:author="井底蛙" w:date="2026-06-16T17:29:00Z" w:initials="">
    <w:p w14:paraId="52DB994B">
      <w:pPr>
        <w:pStyle w:val="9"/>
        <w:rPr>
          <w:rFonts w:hint="default" w:eastAsia="宋体"/>
          <w:lang w:val="en-US" w:eastAsia="zh-CN"/>
        </w:rPr>
      </w:pPr>
      <w:r>
        <w:rPr>
          <w:rFonts w:hint="eastAsia"/>
          <w:lang w:val="en-US" w:eastAsia="zh-CN"/>
        </w:rPr>
        <w:t>协助建设单位取得安全生产标准化文件</w:t>
      </w:r>
    </w:p>
  </w:comment>
  <w:comment w:id="26" w:author="井底蛙" w:date="2026-06-16T17:34:00Z" w:initials="">
    <w:p w14:paraId="4BDD10F1">
      <w:pPr>
        <w:pStyle w:val="9"/>
        <w:rPr>
          <w:rFonts w:hint="default" w:eastAsia="宋体"/>
          <w:lang w:val="en-US" w:eastAsia="zh-CN"/>
        </w:rPr>
      </w:pPr>
      <w:r>
        <w:rPr>
          <w:rFonts w:hint="eastAsia"/>
          <w:lang w:val="en-US" w:eastAsia="zh-CN"/>
        </w:rPr>
        <w:t>创优咨询策划、合同里面的内容提炼出来、参考电力创优评价导则的内容</w:t>
      </w:r>
    </w:p>
  </w:comment>
  <w:comment w:id="27" w:author="井底蛙" w:date="2026-06-16T17:38:00Z" w:initials="">
    <w:p w14:paraId="52A77A43">
      <w:pPr>
        <w:pStyle w:val="9"/>
        <w:rPr>
          <w:rFonts w:hint="default" w:eastAsia="宋体"/>
          <w:lang w:val="en-US" w:eastAsia="zh-CN"/>
        </w:rPr>
      </w:pPr>
      <w:r>
        <w:rPr>
          <w:rFonts w:hint="eastAsia"/>
          <w:lang w:val="en-US" w:eastAsia="zh-CN"/>
        </w:rPr>
        <w:t>增加设计评审报告的内容</w:t>
      </w:r>
    </w:p>
  </w:comment>
  <w:comment w:id="28" w:author="井底蛙" w:date="2026-06-16T17:38:00Z" w:initials="">
    <w:p w14:paraId="4DD505C4">
      <w:pPr>
        <w:pStyle w:val="9"/>
        <w:rPr>
          <w:rFonts w:hint="default" w:eastAsia="宋体"/>
          <w:lang w:val="en-US" w:eastAsia="zh-CN"/>
        </w:rPr>
      </w:pPr>
      <w:r>
        <w:rPr>
          <w:rFonts w:hint="eastAsia"/>
          <w:lang w:val="en-US" w:eastAsia="zh-CN"/>
        </w:rPr>
        <w:t>增加设计评审报告的内容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4235302" w15:done="0"/>
  <w15:commentEx w15:paraId="7B06BA4E" w15:done="0"/>
  <w15:commentEx w15:paraId="06448D30" w15:done="0"/>
  <w15:commentEx w15:paraId="4B5FDA55" w15:done="0"/>
  <w15:commentEx w15:paraId="5E866CAC" w15:done="0"/>
  <w15:commentEx w15:paraId="1CC8341D" w15:done="0"/>
  <w15:commentEx w15:paraId="77DC4696" w15:done="0"/>
  <w15:commentEx w15:paraId="7F4F390C" w15:done="0"/>
  <w15:commentEx w15:paraId="6CAE31C8" w15:done="0"/>
  <w15:commentEx w15:paraId="3E511712" w15:done="0"/>
  <w15:commentEx w15:paraId="3488FBBA" w15:done="0"/>
  <w15:commentEx w15:paraId="28336FD4" w15:done="0"/>
  <w15:commentEx w15:paraId="31C34C25" w15:done="0"/>
  <w15:commentEx w15:paraId="1187109D" w15:done="0"/>
  <w15:commentEx w15:paraId="4C4EDA49" w15:done="0"/>
  <w15:commentEx w15:paraId="682FF3DA" w15:done="0"/>
  <w15:commentEx w15:paraId="263374A0" w15:done="0"/>
  <w15:commentEx w15:paraId="5F0DD9CC" w15:done="0"/>
  <w15:commentEx w15:paraId="2A0D1112" w15:done="0"/>
  <w15:commentEx w15:paraId="313EAC46" w15:done="0"/>
  <w15:commentEx w15:paraId="17330890" w15:done="0"/>
  <w15:commentEx w15:paraId="49C54E9B" w15:done="0"/>
  <w15:commentEx w15:paraId="46184068" w15:done="0"/>
  <w15:commentEx w15:paraId="48A77E17" w15:done="0"/>
  <w15:commentEx w15:paraId="047E51F4" w15:done="0"/>
  <w15:commentEx w15:paraId="52DB994B" w15:done="0"/>
  <w15:commentEx w15:paraId="4BDD10F1" w15:done="0"/>
  <w15:commentEx w15:paraId="52A77A43" w15:done="0"/>
  <w15:commentEx w15:paraId="4DD505C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9DCFC7-3D93-42CE-AB46-DBED7FE38B5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embedRegular r:id="rId2" w:fontKey="{0E92F40E-7EF2-40CD-841D-AEBC974266ED}"/>
  </w:font>
  <w:font w:name="方正公文小标宋">
    <w:altName w:val="宋体"/>
    <w:panose1 w:val="02000500000000000000"/>
    <w:charset w:val="86"/>
    <w:family w:val="auto"/>
    <w:pitch w:val="default"/>
    <w:sig w:usb0="00000000" w:usb1="00000000" w:usb2="00000016" w:usb3="00000000" w:csb0="00040001" w:csb1="00000000"/>
    <w:embedRegular r:id="rId3" w:fontKey="{63A10D7A-F7AB-4553-9E24-D284B0082CCF}"/>
  </w:font>
  <w:font w:name="方正小标宋_GBK">
    <w:panose1 w:val="03000509000000000000"/>
    <w:charset w:val="86"/>
    <w:family w:val="auto"/>
    <w:pitch w:val="default"/>
    <w:sig w:usb0="00000001" w:usb1="080E0000" w:usb2="00000000" w:usb3="00000000" w:csb0="00040000" w:csb1="00000000"/>
    <w:embedRegular r:id="rId4" w:fontKey="{F2F7F3DB-E569-4183-996B-668260CD7756}"/>
  </w:font>
  <w:font w:name="仿宋_GB2312">
    <w:panose1 w:val="02010609030101010101"/>
    <w:charset w:val="86"/>
    <w:family w:val="auto"/>
    <w:pitch w:val="default"/>
    <w:sig w:usb0="00000001" w:usb1="080E0000" w:usb2="00000000" w:usb3="00000000" w:csb0="00040000" w:csb1="00000000"/>
    <w:embedRegular r:id="rId5" w:fontKey="{33828A30-1068-4A7D-A7BF-24E0D1E8C5AB}"/>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16C1F">
    <w:pPr>
      <w:pStyle w:val="47"/>
    </w:pPr>
    <w:r>
      <w:fldChar w:fldCharType="begin"/>
    </w:r>
    <w:r>
      <w:instrText xml:space="preserve">PAGE   \* MERGEFORMAT</w:instrText>
    </w:r>
    <w:r>
      <w:fldChar w:fldCharType="separate"/>
    </w:r>
    <w:r>
      <w:rPr>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F0B2F">
    <w:pPr>
      <w:pStyle w:val="48"/>
    </w:pPr>
    <w:r>
      <w:fldChar w:fldCharType="begin"/>
    </w:r>
    <w:r>
      <w:instrText xml:space="preserve"> PAGE   \* MERGEFORMAT \* MERGEFORMAT </w:instrText>
    </w:r>
    <w:r>
      <w:fldChar w:fldCharType="separate"/>
    </w:r>
    <w:r>
      <w:t>III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26A0A">
    <w:pPr>
      <w:pStyle w:val="47"/>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FAD80">
    <w:pPr>
      <w:pStyle w:val="48"/>
    </w:pPr>
    <w:r>
      <w:fldChar w:fldCharType="begin"/>
    </w:r>
    <w:r>
      <w:instrText xml:space="preserve"> PAGE   \* MERGEFORMAT \* MERGEFORMAT </w:instrText>
    </w:r>
    <w:r>
      <w:fldChar w:fldCharType="separate"/>
    </w:r>
    <w:r>
      <w:t>IV</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677B7">
    <w:pPr>
      <w:pStyle w:val="47"/>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8D679">
    <w:pPr>
      <w:pStyle w:val="48"/>
    </w:pPr>
    <w:r>
      <w:fldChar w:fldCharType="begin"/>
    </w:r>
    <w:r>
      <w:instrText xml:space="preserve"> PAGE   \* MERGEFORMAT \* MERGEFORMAT </w:instrText>
    </w:r>
    <w:r>
      <w:fldChar w:fldCharType="separate"/>
    </w:r>
    <w:r>
      <w:t>30</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E745F">
    <w:pPr>
      <w:pStyle w:val="45"/>
    </w:pPr>
    <w:r>
      <w:fldChar w:fldCharType="begin"/>
    </w:r>
    <w:r>
      <w:instrText xml:space="preserve"> STYLEREF  标准文件_文件编号  \* MERGEFORMAT </w:instrText>
    </w:r>
    <w:r>
      <w:fldChar w:fldCharType="separate"/>
    </w:r>
    <w:r>
      <w:t>T/CEPCA XXXX-2026</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BA861">
    <w:pPr>
      <w:pStyle w:val="46"/>
    </w:pPr>
    <w:r>
      <w:fldChar w:fldCharType="begin"/>
    </w:r>
    <w:r>
      <w:instrText xml:space="preserve"> STYLEREF  标准文件_文件编号 \* MERGEFORMAT </w:instrText>
    </w:r>
    <w:r>
      <w:fldChar w:fldCharType="separate"/>
    </w:r>
    <w:r>
      <w:t>T/CEPCA XXXX-2026</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45DEA">
    <w:pPr>
      <w:pStyle w:val="45"/>
    </w:pPr>
    <w:r>
      <w:fldChar w:fldCharType="begin"/>
    </w:r>
    <w:r>
      <w:instrText xml:space="preserve"> STYLEREF  标准文件_文件编号  \* MERGEFORMAT </w:instrText>
    </w:r>
    <w:r>
      <w:fldChar w:fldCharType="separate"/>
    </w:r>
    <w:r>
      <w:t>T/CEPCA XXXX-2026</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72283">
    <w:pPr>
      <w:pStyle w:val="46"/>
    </w:pPr>
    <w:r>
      <w:fldChar w:fldCharType="begin"/>
    </w:r>
    <w:r>
      <w:instrText xml:space="preserve"> STYLEREF  标准文件_文件编号 \* MERGEFORMAT </w:instrText>
    </w:r>
    <w:r>
      <w:fldChar w:fldCharType="separate"/>
    </w:r>
    <w:r>
      <w:t>T/CEPCA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E253B">
    <w:pPr>
      <w:pStyle w:val="45"/>
    </w:pPr>
    <w:r>
      <w:fldChar w:fldCharType="begin"/>
    </w:r>
    <w:r>
      <w:instrText xml:space="preserve"> STYLEREF  标准文件_文件编号  \* MERGEFORMAT </w:instrText>
    </w:r>
    <w:r>
      <w:fldChar w:fldCharType="separate"/>
    </w:r>
    <w:r>
      <w:t>T/CEPCA XXXX-2026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400DE">
    <w:pPr>
      <w:pStyle w:val="46"/>
    </w:pPr>
    <w:r>
      <w:fldChar w:fldCharType="begin"/>
    </w:r>
    <w:r>
      <w:instrText xml:space="preserve"> STYLEREF  标准文件_文件编号 \* MERGEFORMAT </w:instrText>
    </w:r>
    <w:r>
      <w:fldChar w:fldCharType="separate"/>
    </w:r>
    <w:r>
      <w:t>T/CEPCA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B1B19D"/>
    <w:multiLevelType w:val="singleLevel"/>
    <w:tmpl w:val="ADB1B19D"/>
    <w:lvl w:ilvl="0" w:tentative="0">
      <w:start w:val="1"/>
      <w:numFmt w:val="decimal"/>
      <w:suff w:val="nothing"/>
      <w:lvlText w:val="[%1]  "/>
      <w:lvlJc w:val="left"/>
      <w:pPr>
        <w:tabs>
          <w:tab w:val="left" w:pos="0"/>
        </w:tabs>
        <w:ind w:left="0" w:firstLine="420"/>
      </w:pPr>
      <w:rPr>
        <w:rFonts w:hint="default" w:cs="宋体"/>
        <w:sz w:val="21"/>
        <w:szCs w:val="21"/>
      </w:rPr>
    </w:lvl>
  </w:abstractNum>
  <w:abstractNum w:abstractNumId="1">
    <w:nsid w:val="B07971E7"/>
    <w:multiLevelType w:val="singleLevel"/>
    <w:tmpl w:val="B07971E7"/>
    <w:lvl w:ilvl="0" w:tentative="0">
      <w:start w:val="1"/>
      <w:numFmt w:val="decimal"/>
      <w:lvlText w:val="%1."/>
      <w:lvlJc w:val="left"/>
      <w:pPr>
        <w:ind w:left="425" w:hanging="425"/>
      </w:pPr>
      <w:rPr>
        <w:rFonts w:hint="default"/>
      </w:rPr>
    </w:lvl>
  </w:abstractNum>
  <w:abstractNum w:abstractNumId="2">
    <w:nsid w:val="C5EB218E"/>
    <w:multiLevelType w:val="singleLevel"/>
    <w:tmpl w:val="C5EB218E"/>
    <w:lvl w:ilvl="0" w:tentative="0">
      <w:start w:val="1"/>
      <w:numFmt w:val="decimal"/>
      <w:lvlText w:val="%1."/>
      <w:lvlJc w:val="left"/>
      <w:pPr>
        <w:tabs>
          <w:tab w:val="left" w:pos="312"/>
        </w:tabs>
      </w:pPr>
    </w:lvl>
  </w:abstractNum>
  <w:abstractNum w:abstractNumId="3">
    <w:nsid w:val="E88F1756"/>
    <w:multiLevelType w:val="singleLevel"/>
    <w:tmpl w:val="E88F1756"/>
    <w:lvl w:ilvl="0" w:tentative="0">
      <w:start w:val="1"/>
      <w:numFmt w:val="decimal"/>
      <w:lvlText w:val="%1."/>
      <w:lvlJc w:val="left"/>
      <w:pPr>
        <w:ind w:left="425" w:hanging="425"/>
      </w:pPr>
      <w:rPr>
        <w:rFonts w:hint="default"/>
      </w:rPr>
    </w:lvl>
  </w:abstractNum>
  <w:abstractNum w:abstractNumId="4">
    <w:nsid w:val="F0A55763"/>
    <w:multiLevelType w:val="singleLevel"/>
    <w:tmpl w:val="F0A55763"/>
    <w:lvl w:ilvl="0" w:tentative="0">
      <w:start w:val="1"/>
      <w:numFmt w:val="decimal"/>
      <w:lvlText w:val="%1."/>
      <w:lvlJc w:val="left"/>
      <w:pPr>
        <w:tabs>
          <w:tab w:val="left" w:pos="312"/>
        </w:tabs>
      </w:pPr>
    </w:lvl>
  </w:abstractNum>
  <w:abstractNum w:abstractNumId="5">
    <w:nsid w:val="07ED3FEA"/>
    <w:multiLevelType w:val="multilevel"/>
    <w:tmpl w:val="07ED3FEA"/>
    <w:lvl w:ilvl="0" w:tentative="0">
      <w:start w:val="1"/>
      <w:numFmt w:val="none"/>
      <w:pStyle w:val="62"/>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Calibri" w:eastAsia="黑体"/>
        <w:b w:val="0"/>
        <w:i w:val="0"/>
        <w:sz w:val="21"/>
      </w:rPr>
    </w:lvl>
    <w:lvl w:ilvl="2" w:tentative="0">
      <w:start w:val="1"/>
      <w:numFmt w:val="decimal"/>
      <w:suff w:val="nothing"/>
      <w:lvlText w:val="%10.%2.%3 "/>
      <w:lvlJc w:val="left"/>
      <w:pPr>
        <w:ind w:left="0" w:firstLine="0"/>
      </w:pPr>
      <w:rPr>
        <w:rFonts w:hint="eastAsia" w:ascii="黑体" w:hAnsi="Calibri" w:eastAsia="黑体"/>
        <w:b w:val="0"/>
        <w:i w:val="0"/>
        <w:sz w:val="21"/>
      </w:rPr>
    </w:lvl>
    <w:lvl w:ilvl="3" w:tentative="0">
      <w:start w:val="1"/>
      <w:numFmt w:val="decimal"/>
      <w:suff w:val="nothing"/>
      <w:lvlText w:val="%10.%2.%3.%4 "/>
      <w:lvlJc w:val="left"/>
      <w:pPr>
        <w:ind w:left="0" w:firstLine="0"/>
      </w:pPr>
      <w:rPr>
        <w:rFonts w:hint="eastAsia" w:ascii="黑体" w:hAnsi="Calibri" w:eastAsia="黑体"/>
        <w:b w:val="0"/>
        <w:i w:val="0"/>
        <w:sz w:val="21"/>
      </w:rPr>
    </w:lvl>
    <w:lvl w:ilvl="4" w:tentative="0">
      <w:start w:val="1"/>
      <w:numFmt w:val="decimal"/>
      <w:suff w:val="nothing"/>
      <w:lvlText w:val="%10.%2.%3.%4.%5 "/>
      <w:lvlJc w:val="left"/>
      <w:pPr>
        <w:ind w:left="0" w:firstLine="0"/>
      </w:pPr>
      <w:rPr>
        <w:rFonts w:hint="eastAsia" w:ascii="黑体" w:hAnsi="Calibri" w:eastAsia="黑体"/>
        <w:b w:val="0"/>
        <w:i w:val="0"/>
        <w:sz w:val="21"/>
      </w:rPr>
    </w:lvl>
    <w:lvl w:ilvl="5" w:tentative="0">
      <w:start w:val="1"/>
      <w:numFmt w:val="decimal"/>
      <w:suff w:val="nothing"/>
      <w:lvlText w:val="%10.%2.%3.%4.%5.%6 "/>
      <w:lvlJc w:val="left"/>
      <w:pPr>
        <w:ind w:left="0" w:firstLine="0"/>
      </w:pPr>
      <w:rPr>
        <w:rFonts w:hint="eastAsia" w:ascii="黑体" w:hAnsi="Calibri"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C7C9E0A"/>
    <w:multiLevelType w:val="singleLevel"/>
    <w:tmpl w:val="0C7C9E0A"/>
    <w:lvl w:ilvl="0" w:tentative="0">
      <w:start w:val="1"/>
      <w:numFmt w:val="decimal"/>
      <w:lvlText w:val="%1."/>
      <w:lvlJc w:val="left"/>
      <w:pPr>
        <w:tabs>
          <w:tab w:val="left" w:pos="312"/>
        </w:tabs>
      </w:pPr>
    </w:lvl>
  </w:abstractNum>
  <w:abstractNum w:abstractNumId="7">
    <w:nsid w:val="238A8208"/>
    <w:multiLevelType w:val="singleLevel"/>
    <w:tmpl w:val="238A8208"/>
    <w:lvl w:ilvl="0" w:tentative="0">
      <w:start w:val="1"/>
      <w:numFmt w:val="decimal"/>
      <w:lvlText w:val="%1."/>
      <w:lvlJc w:val="left"/>
      <w:pPr>
        <w:tabs>
          <w:tab w:val="left" w:pos="312"/>
        </w:tabs>
      </w:pPr>
    </w:lvl>
  </w:abstractNum>
  <w:abstractNum w:abstractNumId="8">
    <w:nsid w:val="3BEF1EA4"/>
    <w:multiLevelType w:val="singleLevel"/>
    <w:tmpl w:val="3BEF1EA4"/>
    <w:lvl w:ilvl="0" w:tentative="0">
      <w:start w:val="1"/>
      <w:numFmt w:val="decimal"/>
      <w:lvlText w:val="%1."/>
      <w:lvlJc w:val="left"/>
      <w:pPr>
        <w:ind w:left="425" w:hanging="425"/>
      </w:pPr>
      <w:rPr>
        <w:rFonts w:hint="default"/>
      </w:rPr>
    </w:lvl>
  </w:abstractNum>
  <w:abstractNum w:abstractNumId="9">
    <w:nsid w:val="44C50F90"/>
    <w:multiLevelType w:val="multilevel"/>
    <w:tmpl w:val="44C50F90"/>
    <w:lvl w:ilvl="0" w:tentative="0">
      <w:start w:val="1"/>
      <w:numFmt w:val="lowerLetter"/>
      <w:pStyle w:val="65"/>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A73E6F4"/>
    <w:multiLevelType w:val="singleLevel"/>
    <w:tmpl w:val="4A73E6F4"/>
    <w:lvl w:ilvl="0" w:tentative="0">
      <w:start w:val="1"/>
      <w:numFmt w:val="decimal"/>
      <w:lvlText w:val="%1."/>
      <w:lvlJc w:val="left"/>
      <w:pPr>
        <w:ind w:left="425" w:hanging="425"/>
      </w:pPr>
      <w:rPr>
        <w:rFonts w:hint="default"/>
      </w:rPr>
    </w:lvl>
  </w:abstractNum>
  <w:abstractNum w:abstractNumId="11">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7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657D3FBC"/>
    <w:multiLevelType w:val="multilevel"/>
    <w:tmpl w:val="657D3FBC"/>
    <w:lvl w:ilvl="0" w:tentative="0">
      <w:start w:val="1"/>
      <w:numFmt w:val="upperLetter"/>
      <w:pStyle w:val="69"/>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BE515AC"/>
    <w:multiLevelType w:val="singleLevel"/>
    <w:tmpl w:val="6BE515AC"/>
    <w:lvl w:ilvl="0" w:tentative="0">
      <w:start w:val="1"/>
      <w:numFmt w:val="decimal"/>
      <w:lvlText w:val="%1."/>
      <w:lvlJc w:val="left"/>
      <w:pPr>
        <w:ind w:left="425" w:hanging="425"/>
      </w:pPr>
      <w:rPr>
        <w:rFonts w:hint="default"/>
      </w:rPr>
    </w:lvl>
  </w:abstractNum>
  <w:abstractNum w:abstractNumId="1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9"/>
      <w:suff w:val="nothing"/>
      <w:lvlText w:val="%1%2　"/>
      <w:lvlJc w:val="left"/>
      <w:pPr>
        <w:ind w:left="0" w:firstLine="0"/>
      </w:pPr>
      <w:rPr>
        <w:rFonts w:hint="eastAsia" w:ascii="黑体" w:eastAsia="黑体"/>
        <w:b w:val="0"/>
        <w:i w:val="0"/>
        <w:sz w:val="21"/>
      </w:rPr>
    </w:lvl>
    <w:lvl w:ilvl="2" w:tentative="0">
      <w:start w:val="1"/>
      <w:numFmt w:val="decimal"/>
      <w:pStyle w:val="51"/>
      <w:suff w:val="nothing"/>
      <w:lvlText w:val="%1%2.%3　"/>
      <w:lvlJc w:val="left"/>
      <w:pPr>
        <w:ind w:left="0" w:firstLine="0"/>
      </w:pPr>
      <w:rPr>
        <w:rFonts w:hint="default" w:ascii="宋体" w:hAnsi="宋体" w:eastAsia="宋体" w:cs="宋体"/>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58"/>
      <w:suff w:val="nothing"/>
      <w:lvlText w:val="%1%2.%3.%4　"/>
      <w:lvlJc w:val="left"/>
      <w:pPr>
        <w:ind w:left="0" w:firstLine="0"/>
      </w:pPr>
      <w:rPr>
        <w:rFonts w:hint="default" w:ascii="宋体" w:hAnsi="宋体" w:eastAsia="宋体" w:cs="宋体"/>
        <w:b w:val="0"/>
        <w:i w:val="0"/>
        <w:sz w:val="21"/>
      </w:rPr>
    </w:lvl>
    <w:lvl w:ilvl="4" w:tentative="0">
      <w:start w:val="1"/>
      <w:numFmt w:val="decimal"/>
      <w:pStyle w:val="67"/>
      <w:suff w:val="nothing"/>
      <w:lvlText w:val="%1%2.%3.%4.%5　"/>
      <w:lvlJc w:val="left"/>
      <w:pPr>
        <w:ind w:left="0" w:firstLine="0"/>
      </w:pPr>
      <w:rPr>
        <w:rFonts w:hint="default" w:ascii="宋体" w:hAnsi="宋体" w:eastAsia="宋体" w:cs="宋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DBF04F4"/>
    <w:multiLevelType w:val="multilevel"/>
    <w:tmpl w:val="6DBF04F4"/>
    <w:lvl w:ilvl="0" w:tentative="0">
      <w:start w:val="1"/>
      <w:numFmt w:val="none"/>
      <w:pStyle w:val="68"/>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6">
    <w:nsid w:val="6E4C7CE5"/>
    <w:multiLevelType w:val="singleLevel"/>
    <w:tmpl w:val="6E4C7CE5"/>
    <w:lvl w:ilvl="0" w:tentative="0">
      <w:start w:val="1"/>
      <w:numFmt w:val="decimal"/>
      <w:lvlText w:val="%1."/>
      <w:lvlJc w:val="left"/>
      <w:pPr>
        <w:tabs>
          <w:tab w:val="left" w:pos="312"/>
        </w:tabs>
      </w:pPr>
    </w:lvl>
  </w:abstractNum>
  <w:abstractNum w:abstractNumId="17">
    <w:nsid w:val="7519B1DC"/>
    <w:multiLevelType w:val="singleLevel"/>
    <w:tmpl w:val="7519B1DC"/>
    <w:lvl w:ilvl="0" w:tentative="0">
      <w:start w:val="1"/>
      <w:numFmt w:val="decimal"/>
      <w:lvlText w:val="%1."/>
      <w:lvlJc w:val="left"/>
      <w:pPr>
        <w:tabs>
          <w:tab w:val="left" w:pos="312"/>
        </w:tabs>
      </w:pPr>
    </w:lvl>
  </w:abstractNum>
  <w:num w:numId="1">
    <w:abstractNumId w:val="14"/>
  </w:num>
  <w:num w:numId="2">
    <w:abstractNumId w:val="5"/>
  </w:num>
  <w:num w:numId="3">
    <w:abstractNumId w:val="9"/>
  </w:num>
  <w:num w:numId="4">
    <w:abstractNumId w:val="15"/>
  </w:num>
  <w:num w:numId="5">
    <w:abstractNumId w:val="12"/>
  </w:num>
  <w:num w:numId="6">
    <w:abstractNumId w:val="11"/>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3"/>
  </w:num>
  <w:num w:numId="63">
    <w:abstractNumId w:val="1"/>
  </w:num>
  <w:num w:numId="64">
    <w:abstractNumId w:val="10"/>
  </w:num>
  <w:num w:numId="65">
    <w:abstractNumId w:val="13"/>
  </w:num>
  <w:num w:numId="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7"/>
  </w:num>
  <w:num w:numId="89">
    <w:abstractNumId w:val="7"/>
  </w:num>
  <w:num w:numId="90">
    <w:abstractNumId w:val="16"/>
  </w:num>
  <w:num w:numId="91">
    <w:abstractNumId w:val="4"/>
  </w:num>
  <w:num w:numId="92">
    <w:abstractNumId w:val="2"/>
  </w:num>
  <w:num w:numId="93">
    <w:abstractNumId w:val="6"/>
  </w:num>
  <w:num w:numId="9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井底蛙">
    <w15:presenceInfo w15:providerId="None" w15:userId="井底蛙"/>
  </w15:person>
  <w15:person w15:author="傅遥">
    <w15:presenceInfo w15:providerId="None" w15:userId="傅遥"/>
  </w15:person>
  <w15:person w15:author="葉婷">
    <w15:presenceInfo w15:providerId="None" w15:userId="葉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trackRevisions w:val="1"/>
  <w:documentProtection w:enforcement="0"/>
  <w:defaultTabStop w:val="500"/>
  <w:hyphenationZone w:val="360"/>
  <w:displayHorizontalDrawingGridEvery w:val="1"/>
  <w:displayVerticalDrawingGridEvery w:val="1"/>
  <w:noPunctuationKerning w:val="1"/>
  <w:characterSpacingControl w:val="doNotCompress"/>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B02"/>
    <w:rsid w:val="0086638E"/>
    <w:rsid w:val="009144EE"/>
    <w:rsid w:val="00FE6B02"/>
    <w:rsid w:val="01D120D3"/>
    <w:rsid w:val="01D774EA"/>
    <w:rsid w:val="01DB59BA"/>
    <w:rsid w:val="023F66B6"/>
    <w:rsid w:val="025263E9"/>
    <w:rsid w:val="02E776F4"/>
    <w:rsid w:val="02F7634F"/>
    <w:rsid w:val="03997270"/>
    <w:rsid w:val="048E6891"/>
    <w:rsid w:val="055A65D5"/>
    <w:rsid w:val="05B30127"/>
    <w:rsid w:val="05C706B8"/>
    <w:rsid w:val="06BB427D"/>
    <w:rsid w:val="079E3568"/>
    <w:rsid w:val="08906760"/>
    <w:rsid w:val="08A7677A"/>
    <w:rsid w:val="09B20737"/>
    <w:rsid w:val="09D14B65"/>
    <w:rsid w:val="0A950D96"/>
    <w:rsid w:val="0AAB6AF7"/>
    <w:rsid w:val="0ACD782C"/>
    <w:rsid w:val="0D207BE7"/>
    <w:rsid w:val="0D752173"/>
    <w:rsid w:val="0EAD69A2"/>
    <w:rsid w:val="0F88122E"/>
    <w:rsid w:val="11E31E07"/>
    <w:rsid w:val="125735A8"/>
    <w:rsid w:val="127D6363"/>
    <w:rsid w:val="13044C31"/>
    <w:rsid w:val="132F0080"/>
    <w:rsid w:val="136A10B9"/>
    <w:rsid w:val="13ED2C4D"/>
    <w:rsid w:val="14172444"/>
    <w:rsid w:val="14E52206"/>
    <w:rsid w:val="15044878"/>
    <w:rsid w:val="15874D58"/>
    <w:rsid w:val="15962639"/>
    <w:rsid w:val="15DA3D07"/>
    <w:rsid w:val="16013C9E"/>
    <w:rsid w:val="165D2447"/>
    <w:rsid w:val="1770253A"/>
    <w:rsid w:val="17FFD7D1"/>
    <w:rsid w:val="183421EA"/>
    <w:rsid w:val="19375EE1"/>
    <w:rsid w:val="19A70C8C"/>
    <w:rsid w:val="1A824F3A"/>
    <w:rsid w:val="1B4F0594"/>
    <w:rsid w:val="1D6C6F93"/>
    <w:rsid w:val="1DAEC261"/>
    <w:rsid w:val="1DD9E384"/>
    <w:rsid w:val="1DDB787F"/>
    <w:rsid w:val="1E0D7210"/>
    <w:rsid w:val="1E7FB18F"/>
    <w:rsid w:val="1EFB1093"/>
    <w:rsid w:val="1F377767"/>
    <w:rsid w:val="1F6F5F94"/>
    <w:rsid w:val="1F821C01"/>
    <w:rsid w:val="20AE0E87"/>
    <w:rsid w:val="20AF102F"/>
    <w:rsid w:val="2104350A"/>
    <w:rsid w:val="213353E6"/>
    <w:rsid w:val="2189138A"/>
    <w:rsid w:val="21D37C6C"/>
    <w:rsid w:val="21F7445F"/>
    <w:rsid w:val="22B432B1"/>
    <w:rsid w:val="22F62969"/>
    <w:rsid w:val="232B1304"/>
    <w:rsid w:val="242F5520"/>
    <w:rsid w:val="24311161"/>
    <w:rsid w:val="24D64800"/>
    <w:rsid w:val="250550E5"/>
    <w:rsid w:val="25114189"/>
    <w:rsid w:val="25985068"/>
    <w:rsid w:val="262C0D60"/>
    <w:rsid w:val="26D7C948"/>
    <w:rsid w:val="26DA25CB"/>
    <w:rsid w:val="27FB6FBD"/>
    <w:rsid w:val="281628C5"/>
    <w:rsid w:val="284E0390"/>
    <w:rsid w:val="29B953D8"/>
    <w:rsid w:val="2A2E4796"/>
    <w:rsid w:val="2A3A5069"/>
    <w:rsid w:val="2AD77072"/>
    <w:rsid w:val="2B9B1539"/>
    <w:rsid w:val="2BAB2742"/>
    <w:rsid w:val="2C5A7AC4"/>
    <w:rsid w:val="2C6170A5"/>
    <w:rsid w:val="2CD8427D"/>
    <w:rsid w:val="2CE96A9F"/>
    <w:rsid w:val="2DB41456"/>
    <w:rsid w:val="2DE84E22"/>
    <w:rsid w:val="2DEF40CA"/>
    <w:rsid w:val="2E964751"/>
    <w:rsid w:val="2F187741"/>
    <w:rsid w:val="2F545D0A"/>
    <w:rsid w:val="2F579125"/>
    <w:rsid w:val="2F7F6FB2"/>
    <w:rsid w:val="2FF248AB"/>
    <w:rsid w:val="30123667"/>
    <w:rsid w:val="313233E1"/>
    <w:rsid w:val="31F42769"/>
    <w:rsid w:val="32D41824"/>
    <w:rsid w:val="331C7403"/>
    <w:rsid w:val="33260EE8"/>
    <w:rsid w:val="336D7809"/>
    <w:rsid w:val="337C316B"/>
    <w:rsid w:val="343F2A23"/>
    <w:rsid w:val="34511DE2"/>
    <w:rsid w:val="34961C47"/>
    <w:rsid w:val="34D310B7"/>
    <w:rsid w:val="35633ED7"/>
    <w:rsid w:val="359017F5"/>
    <w:rsid w:val="366A35E2"/>
    <w:rsid w:val="36D82B86"/>
    <w:rsid w:val="373152D9"/>
    <w:rsid w:val="3772660A"/>
    <w:rsid w:val="37C242DE"/>
    <w:rsid w:val="38B02349"/>
    <w:rsid w:val="39525488"/>
    <w:rsid w:val="39777F08"/>
    <w:rsid w:val="39A643A6"/>
    <w:rsid w:val="3AD33C97"/>
    <w:rsid w:val="3B126F91"/>
    <w:rsid w:val="3B191B5E"/>
    <w:rsid w:val="3B533330"/>
    <w:rsid w:val="3B5953EB"/>
    <w:rsid w:val="3BDA307A"/>
    <w:rsid w:val="3BDA477E"/>
    <w:rsid w:val="3C326368"/>
    <w:rsid w:val="3C805325"/>
    <w:rsid w:val="3DDB8C02"/>
    <w:rsid w:val="3E6D7B2B"/>
    <w:rsid w:val="3E79E361"/>
    <w:rsid w:val="3F2F7D45"/>
    <w:rsid w:val="3F5F337A"/>
    <w:rsid w:val="3FD4553C"/>
    <w:rsid w:val="405E3BCF"/>
    <w:rsid w:val="409B34A8"/>
    <w:rsid w:val="427E64D5"/>
    <w:rsid w:val="429F5BE0"/>
    <w:rsid w:val="42F7517E"/>
    <w:rsid w:val="4312439E"/>
    <w:rsid w:val="439F1AC0"/>
    <w:rsid w:val="45246198"/>
    <w:rsid w:val="45502E04"/>
    <w:rsid w:val="46BE6A2C"/>
    <w:rsid w:val="46C155A5"/>
    <w:rsid w:val="47401ABD"/>
    <w:rsid w:val="47540C0E"/>
    <w:rsid w:val="47CF53B3"/>
    <w:rsid w:val="47FBB222"/>
    <w:rsid w:val="495D76D5"/>
    <w:rsid w:val="495E25EB"/>
    <w:rsid w:val="497F536E"/>
    <w:rsid w:val="4A1B4023"/>
    <w:rsid w:val="4AAA17BF"/>
    <w:rsid w:val="4ACC5ED4"/>
    <w:rsid w:val="4D7C4E47"/>
    <w:rsid w:val="4DBFD1F3"/>
    <w:rsid w:val="4DED6EE6"/>
    <w:rsid w:val="4E3C0F01"/>
    <w:rsid w:val="4F2567DF"/>
    <w:rsid w:val="4FF108B5"/>
    <w:rsid w:val="50250266"/>
    <w:rsid w:val="505321EA"/>
    <w:rsid w:val="50646F5B"/>
    <w:rsid w:val="50DB26D2"/>
    <w:rsid w:val="50F61422"/>
    <w:rsid w:val="510967C3"/>
    <w:rsid w:val="51CB31D9"/>
    <w:rsid w:val="52650DED"/>
    <w:rsid w:val="535B3F9E"/>
    <w:rsid w:val="54207E43"/>
    <w:rsid w:val="543B7510"/>
    <w:rsid w:val="544E23BA"/>
    <w:rsid w:val="561072C2"/>
    <w:rsid w:val="57D75010"/>
    <w:rsid w:val="58C12AF6"/>
    <w:rsid w:val="59A90173"/>
    <w:rsid w:val="5A0E1D6B"/>
    <w:rsid w:val="5A8400D6"/>
    <w:rsid w:val="5AE2102C"/>
    <w:rsid w:val="5B3E042E"/>
    <w:rsid w:val="5B7FE5D2"/>
    <w:rsid w:val="5B8147BE"/>
    <w:rsid w:val="5C2A418D"/>
    <w:rsid w:val="5CC06E38"/>
    <w:rsid w:val="5D4D19A0"/>
    <w:rsid w:val="5D5A7075"/>
    <w:rsid w:val="5D610403"/>
    <w:rsid w:val="5E4F64AE"/>
    <w:rsid w:val="5EEA406E"/>
    <w:rsid w:val="5EF20097"/>
    <w:rsid w:val="5F7FBA6F"/>
    <w:rsid w:val="5FDF592D"/>
    <w:rsid w:val="5FFB03F0"/>
    <w:rsid w:val="5FFB1492"/>
    <w:rsid w:val="603D2C93"/>
    <w:rsid w:val="60BA67A8"/>
    <w:rsid w:val="61EE5FDE"/>
    <w:rsid w:val="624B3A6F"/>
    <w:rsid w:val="634405AB"/>
    <w:rsid w:val="634F21F3"/>
    <w:rsid w:val="63D660BE"/>
    <w:rsid w:val="63FBA4F5"/>
    <w:rsid w:val="642C488E"/>
    <w:rsid w:val="64E01FE9"/>
    <w:rsid w:val="66865F97"/>
    <w:rsid w:val="68C241B6"/>
    <w:rsid w:val="68FFFAC7"/>
    <w:rsid w:val="693E5F01"/>
    <w:rsid w:val="69690D6B"/>
    <w:rsid w:val="69E46BF2"/>
    <w:rsid w:val="6A2B7DCF"/>
    <w:rsid w:val="6A75407D"/>
    <w:rsid w:val="6AFB712E"/>
    <w:rsid w:val="6BF769C3"/>
    <w:rsid w:val="6C750490"/>
    <w:rsid w:val="6CF505BA"/>
    <w:rsid w:val="6D1931FD"/>
    <w:rsid w:val="6DC8635F"/>
    <w:rsid w:val="6F6C2F47"/>
    <w:rsid w:val="6FDE8B1B"/>
    <w:rsid w:val="70C061D2"/>
    <w:rsid w:val="70CB7405"/>
    <w:rsid w:val="71725145"/>
    <w:rsid w:val="71795A6F"/>
    <w:rsid w:val="7182618D"/>
    <w:rsid w:val="72952BD1"/>
    <w:rsid w:val="72FD9D02"/>
    <w:rsid w:val="736E2E0B"/>
    <w:rsid w:val="73EBF838"/>
    <w:rsid w:val="7463267F"/>
    <w:rsid w:val="74FF992B"/>
    <w:rsid w:val="75DE6261"/>
    <w:rsid w:val="765D061C"/>
    <w:rsid w:val="76FC5B2A"/>
    <w:rsid w:val="77A60483"/>
    <w:rsid w:val="77C413CA"/>
    <w:rsid w:val="78171094"/>
    <w:rsid w:val="791E702E"/>
    <w:rsid w:val="793B5B55"/>
    <w:rsid w:val="7AF0684F"/>
    <w:rsid w:val="7B2F7B5A"/>
    <w:rsid w:val="7B9232B5"/>
    <w:rsid w:val="7BB75966"/>
    <w:rsid w:val="7BBEC48B"/>
    <w:rsid w:val="7BEEAC15"/>
    <w:rsid w:val="7CBE4238"/>
    <w:rsid w:val="7CC320E9"/>
    <w:rsid w:val="7CDC5B66"/>
    <w:rsid w:val="7D124E1E"/>
    <w:rsid w:val="7D592D11"/>
    <w:rsid w:val="7DEB18F7"/>
    <w:rsid w:val="7DFB57CD"/>
    <w:rsid w:val="7EBF466E"/>
    <w:rsid w:val="7F192494"/>
    <w:rsid w:val="7F216128"/>
    <w:rsid w:val="7F3BD3A2"/>
    <w:rsid w:val="7F5F3B56"/>
    <w:rsid w:val="7F6000C3"/>
    <w:rsid w:val="7F65F5A4"/>
    <w:rsid w:val="7F6F9AA3"/>
    <w:rsid w:val="7FA66286"/>
    <w:rsid w:val="7FAA7590"/>
    <w:rsid w:val="7FCBE816"/>
    <w:rsid w:val="8B7F2720"/>
    <w:rsid w:val="9575F762"/>
    <w:rsid w:val="9FBFC65C"/>
    <w:rsid w:val="A6FD01DE"/>
    <w:rsid w:val="A777A452"/>
    <w:rsid w:val="ABFE7664"/>
    <w:rsid w:val="ADBD81F8"/>
    <w:rsid w:val="ADDFBE30"/>
    <w:rsid w:val="AFDCFC43"/>
    <w:rsid w:val="B77EDC41"/>
    <w:rsid w:val="BBD9CAA9"/>
    <w:rsid w:val="BDB65790"/>
    <w:rsid w:val="BFA695A3"/>
    <w:rsid w:val="BFDEA8FB"/>
    <w:rsid w:val="BFF52B22"/>
    <w:rsid w:val="C77E3C9A"/>
    <w:rsid w:val="C7DD6A54"/>
    <w:rsid w:val="CBFBBFB4"/>
    <w:rsid w:val="CFFF28BC"/>
    <w:rsid w:val="D7FD47C2"/>
    <w:rsid w:val="DAFCC3C7"/>
    <w:rsid w:val="DB825008"/>
    <w:rsid w:val="DFFB5655"/>
    <w:rsid w:val="E0CE4FDD"/>
    <w:rsid w:val="E2EE8896"/>
    <w:rsid w:val="E3DFA25C"/>
    <w:rsid w:val="E5FB9B2E"/>
    <w:rsid w:val="EA55ED3F"/>
    <w:rsid w:val="EBBDC273"/>
    <w:rsid w:val="EDE7A799"/>
    <w:rsid w:val="EECFC647"/>
    <w:rsid w:val="EFB595C1"/>
    <w:rsid w:val="F3E2AF73"/>
    <w:rsid w:val="F4598C9E"/>
    <w:rsid w:val="F46AF191"/>
    <w:rsid w:val="F5B9C27D"/>
    <w:rsid w:val="FADF6C8F"/>
    <w:rsid w:val="FB3F7BFD"/>
    <w:rsid w:val="FBEBDCE7"/>
    <w:rsid w:val="FBEF47C7"/>
    <w:rsid w:val="FBEFA951"/>
    <w:rsid w:val="FBFBE40B"/>
    <w:rsid w:val="FDC51E01"/>
    <w:rsid w:val="FDFBFB75"/>
    <w:rsid w:val="FE55ADAA"/>
    <w:rsid w:val="FEEF135F"/>
    <w:rsid w:val="FF670486"/>
    <w:rsid w:val="FF7CE787"/>
    <w:rsid w:val="FF7D661D"/>
    <w:rsid w:val="FFCCC403"/>
    <w:rsid w:val="FFDCF12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z w:val="21"/>
      <w:szCs w:val="22"/>
      <w:lang w:val="en-US" w:eastAsia="zh-CN" w:bidi="ar-SA"/>
    </w:rPr>
  </w:style>
  <w:style w:type="paragraph" w:styleId="2">
    <w:name w:val="heading 1"/>
    <w:next w:val="1"/>
    <w:qFormat/>
    <w:uiPriority w:val="0"/>
    <w:pPr>
      <w:spacing w:before="380" w:after="140" w:line="288" w:lineRule="auto"/>
      <w:outlineLvl w:val="0"/>
    </w:pPr>
    <w:rPr>
      <w:rFonts w:ascii="Arial" w:hAnsi="Arial" w:eastAsia="等线" w:cs="Arial"/>
      <w:b/>
      <w:bCs/>
      <w:sz w:val="36"/>
      <w:szCs w:val="36"/>
      <w:lang w:val="en-US" w:eastAsia="zh-CN" w:bidi="ar-SA"/>
    </w:rPr>
  </w:style>
  <w:style w:type="paragraph" w:styleId="3">
    <w:name w:val="heading 2"/>
    <w:next w:val="1"/>
    <w:qFormat/>
    <w:uiPriority w:val="0"/>
    <w:pPr>
      <w:spacing w:before="320" w:after="120" w:line="288" w:lineRule="auto"/>
      <w:outlineLvl w:val="1"/>
    </w:pPr>
    <w:rPr>
      <w:rFonts w:ascii="Arial" w:hAnsi="Arial" w:eastAsia="等线" w:cs="Arial"/>
      <w:b/>
      <w:bCs/>
      <w:sz w:val="32"/>
      <w:szCs w:val="32"/>
      <w:lang w:val="en-US" w:eastAsia="zh-CN" w:bidi="ar-SA"/>
    </w:rPr>
  </w:style>
  <w:style w:type="paragraph" w:styleId="4">
    <w:name w:val="heading 3"/>
    <w:next w:val="1"/>
    <w:qFormat/>
    <w:uiPriority w:val="0"/>
    <w:pPr>
      <w:spacing w:before="300" w:after="120" w:line="288" w:lineRule="auto"/>
      <w:outlineLvl w:val="2"/>
    </w:pPr>
    <w:rPr>
      <w:rFonts w:ascii="Arial" w:hAnsi="Arial" w:eastAsia="等线" w:cs="Arial"/>
      <w:b/>
      <w:bCs/>
      <w:sz w:val="30"/>
      <w:szCs w:val="30"/>
      <w:lang w:val="en-US" w:eastAsia="zh-CN" w:bidi="ar-SA"/>
    </w:rPr>
  </w:style>
  <w:style w:type="paragraph" w:styleId="5">
    <w:name w:val="heading 4"/>
    <w:next w:val="1"/>
    <w:qFormat/>
    <w:uiPriority w:val="0"/>
    <w:pPr>
      <w:spacing w:before="260" w:after="120" w:line="288" w:lineRule="auto"/>
      <w:outlineLvl w:val="3"/>
    </w:pPr>
    <w:rPr>
      <w:rFonts w:ascii="Arial" w:hAnsi="Arial" w:eastAsia="等线" w:cs="Arial"/>
      <w:b/>
      <w:bCs/>
      <w:sz w:val="28"/>
      <w:szCs w:val="28"/>
      <w:lang w:val="en-US" w:eastAsia="zh-CN" w:bidi="ar-SA"/>
    </w:rPr>
  </w:style>
  <w:style w:type="paragraph" w:styleId="6">
    <w:name w:val="heading 5"/>
    <w:next w:val="1"/>
    <w:qFormat/>
    <w:uiPriority w:val="0"/>
    <w:pPr>
      <w:spacing w:before="240" w:after="120" w:line="288" w:lineRule="auto"/>
      <w:outlineLvl w:val="4"/>
    </w:pPr>
    <w:rPr>
      <w:rFonts w:ascii="Arial" w:hAnsi="Arial" w:eastAsia="等线" w:cs="Arial"/>
      <w:b/>
      <w:bCs/>
      <w:sz w:val="24"/>
      <w:szCs w:val="24"/>
      <w:lang w:val="en-US" w:eastAsia="zh-CN" w:bidi="ar-SA"/>
    </w:rPr>
  </w:style>
  <w:style w:type="paragraph" w:styleId="7">
    <w:name w:val="heading 6"/>
    <w:next w:val="1"/>
    <w:qFormat/>
    <w:uiPriority w:val="0"/>
    <w:pPr>
      <w:spacing w:before="240" w:after="120" w:line="288" w:lineRule="auto"/>
      <w:outlineLvl w:val="5"/>
    </w:pPr>
    <w:rPr>
      <w:rFonts w:ascii="Arial" w:hAnsi="Arial" w:eastAsia="等线" w:cs="Arial"/>
      <w:b/>
      <w:bCs/>
      <w:sz w:val="24"/>
      <w:szCs w:val="24"/>
      <w:lang w:val="en-US" w:eastAsia="zh-CN" w:bidi="ar-SA"/>
    </w:rPr>
  </w:style>
  <w:style w:type="character" w:default="1" w:styleId="22">
    <w:name w:val="Default Paragraph Font"/>
    <w:unhideWhenUsed/>
    <w:qFormat/>
    <w:uiPriority w:val="1"/>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8">
    <w:name w:val="Normal Indent"/>
    <w:basedOn w:val="1"/>
    <w:qFormat/>
    <w:uiPriority w:val="0"/>
    <w:pPr>
      <w:ind w:firstLine="420"/>
    </w:pPr>
  </w:style>
  <w:style w:type="paragraph" w:styleId="9">
    <w:name w:val="annotation text"/>
    <w:basedOn w:val="1"/>
    <w:qFormat/>
    <w:uiPriority w:val="0"/>
    <w:pPr>
      <w:jc w:val="left"/>
    </w:pPr>
  </w:style>
  <w:style w:type="paragraph" w:styleId="10">
    <w:name w:val="Body Text"/>
    <w:basedOn w:val="1"/>
    <w:qFormat/>
    <w:uiPriority w:val="0"/>
    <w:pPr>
      <w:spacing w:after="120"/>
    </w:pPr>
  </w:style>
  <w:style w:type="paragraph" w:styleId="11">
    <w:name w:val="Body Text Indent"/>
    <w:basedOn w:val="1"/>
    <w:unhideWhenUsed/>
    <w:qFormat/>
    <w:uiPriority w:val="99"/>
    <w:pPr>
      <w:spacing w:after="120"/>
      <w:ind w:left="420" w:leftChars="200"/>
    </w:pPr>
  </w:style>
  <w:style w:type="paragraph" w:styleId="12">
    <w:name w:val="Plain Text"/>
    <w:basedOn w:val="1"/>
    <w:qFormat/>
    <w:uiPriority w:val="0"/>
    <w:rPr>
      <w:rFonts w:ascii="宋体" w:hAnsi="Courier New"/>
      <w:szCs w:val="21"/>
    </w:rPr>
  </w:style>
  <w:style w:type="paragraph" w:styleId="13">
    <w:name w:val="footer"/>
    <w:basedOn w:val="1"/>
    <w:qFormat/>
    <w:uiPriority w:val="99"/>
    <w:pPr>
      <w:tabs>
        <w:tab w:val="center" w:pos="4153"/>
        <w:tab w:val="right" w:pos="8306"/>
      </w:tabs>
      <w:snapToGrid w:val="0"/>
      <w:jc w:val="left"/>
    </w:pPr>
    <w:rPr>
      <w:rFonts w:ascii="Times New Roman" w:hAnsi="Times New Roman"/>
      <w:sz w:val="18"/>
      <w:szCs w:val="18"/>
    </w:rPr>
  </w:style>
  <w:style w:type="paragraph" w:styleId="14">
    <w:name w:val="toc 1"/>
    <w:basedOn w:val="1"/>
    <w:next w:val="1"/>
    <w:unhideWhenUsed/>
    <w:qFormat/>
    <w:uiPriority w:val="39"/>
  </w:style>
  <w:style w:type="paragraph" w:styleId="15">
    <w:name w:val="footnote text"/>
    <w:link w:val="26"/>
    <w:unhideWhenUsed/>
    <w:qFormat/>
    <w:uiPriority w:val="99"/>
    <w:rPr>
      <w:rFonts w:ascii="Calibri" w:hAnsi="Calibri" w:eastAsia="宋体" w:cs="Times New Roman"/>
      <w:lang w:val="en-US" w:eastAsia="zh-CN" w:bidi="ar-SA"/>
    </w:rPr>
  </w:style>
  <w:style w:type="paragraph" w:styleId="16">
    <w:name w:val="toc 2"/>
    <w:basedOn w:val="1"/>
    <w:next w:val="1"/>
    <w:unhideWhenUsed/>
    <w:qFormat/>
    <w:uiPriority w:val="39"/>
    <w:pPr>
      <w:ind w:left="420" w:leftChars="200"/>
    </w:p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Title"/>
    <w:basedOn w:val="1"/>
    <w:next w:val="1"/>
    <w:qFormat/>
    <w:uiPriority w:val="0"/>
    <w:pPr>
      <w:spacing w:before="480" w:after="480" w:line="288" w:lineRule="auto"/>
      <w:ind w:left="0"/>
    </w:pPr>
    <w:rPr>
      <w:rFonts w:ascii="Arial" w:hAnsi="Arial" w:eastAsia="等线" w:cs="Arial"/>
      <w:b/>
      <w:bCs/>
      <w:sz w:val="52"/>
      <w:szCs w:val="52"/>
    </w:rPr>
  </w:style>
  <w:style w:type="paragraph" w:styleId="19">
    <w:name w:val="Body Text First Indent 2"/>
    <w:basedOn w:val="11"/>
    <w:unhideWhenUsed/>
    <w:qFormat/>
    <w:uiPriority w:val="99"/>
    <w:pPr>
      <w:ind w:firstLine="420" w:firstLineChars="200"/>
    </w:pPr>
  </w:style>
  <w:style w:type="table" w:styleId="21">
    <w:name w:val="Table Grid"/>
    <w:basedOn w:val="20"/>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0"/>
    <w:rPr>
      <w:b/>
    </w:rPr>
  </w:style>
  <w:style w:type="character" w:styleId="24">
    <w:name w:val="Hyperlink"/>
    <w:unhideWhenUsed/>
    <w:qFormat/>
    <w:uiPriority w:val="99"/>
    <w:rPr>
      <w:color w:val="0563C1"/>
      <w:u w:val="single"/>
    </w:rPr>
  </w:style>
  <w:style w:type="character" w:styleId="25">
    <w:name w:val="footnote reference"/>
    <w:unhideWhenUsed/>
    <w:qFormat/>
    <w:uiPriority w:val="99"/>
    <w:rPr>
      <w:vertAlign w:val="superscript"/>
    </w:rPr>
  </w:style>
  <w:style w:type="character" w:customStyle="1" w:styleId="26">
    <w:name w:val="脚注文本 字符"/>
    <w:link w:val="15"/>
    <w:unhideWhenUsed/>
    <w:qFormat/>
    <w:uiPriority w:val="99"/>
    <w:rPr>
      <w:sz w:val="20"/>
      <w:szCs w:val="20"/>
    </w:rPr>
  </w:style>
  <w:style w:type="paragraph" w:styleId="27">
    <w:name w:val="List Paragraph"/>
    <w:qFormat/>
    <w:uiPriority w:val="0"/>
    <w:rPr>
      <w:rFonts w:ascii="Calibri" w:hAnsi="Calibri" w:eastAsia="宋体" w:cs="Times New Roman"/>
      <w:sz w:val="21"/>
      <w:szCs w:val="22"/>
      <w:lang w:val="en-US" w:eastAsia="zh-CN" w:bidi="ar-SA"/>
    </w:rPr>
  </w:style>
  <w:style w:type="paragraph" w:customStyle="1" w:styleId="28">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29">
    <w:name w:val="_Style 14"/>
    <w:qFormat/>
    <w:uiPriority w:val="0"/>
    <w:pPr>
      <w:spacing w:before="120" w:after="120" w:line="288" w:lineRule="auto"/>
    </w:pPr>
    <w:rPr>
      <w:rFonts w:ascii="Arial" w:hAnsi="Arial" w:eastAsia="等线" w:cs="Arial"/>
      <w:color w:val="8F959E"/>
      <w:sz w:val="22"/>
      <w:szCs w:val="22"/>
      <w:lang w:val="en-US" w:eastAsia="zh-CN" w:bidi="ar-SA"/>
    </w:rPr>
  </w:style>
  <w:style w:type="paragraph" w:customStyle="1" w:styleId="3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31">
    <w:name w:val="标准文件_文件编号"/>
    <w:basedOn w:val="32"/>
    <w:qFormat/>
    <w:uiPriority w:val="0"/>
    <w:pPr>
      <w:framePr w:w="9356" w:h="624" w:hRule="exact" w:hSpace="181" w:vSpace="181" w:wrap="auto" w:vAnchor="page" w:hAnchor="page" w:x="1419" w:y="3284"/>
      <w:wordWrap w:val="0"/>
      <w:spacing w:line="280" w:lineRule="exact"/>
      <w:jc w:val="right"/>
    </w:pPr>
    <w:rPr>
      <w:rFonts w:ascii="黑体" w:eastAsia="黑体"/>
      <w:bCs/>
      <w:sz w:val="28"/>
      <w:szCs w:val="28"/>
    </w:rPr>
  </w:style>
  <w:style w:type="paragraph" w:customStyle="1" w:styleId="3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标准文件_替换文件编号"/>
    <w:basedOn w:val="31"/>
    <w:qFormat/>
    <w:uiPriority w:val="0"/>
    <w:pPr>
      <w:spacing w:before="57"/>
    </w:pPr>
    <w:rPr>
      <w:sz w:val="21"/>
    </w:rPr>
  </w:style>
  <w:style w:type="paragraph" w:customStyle="1" w:styleId="34">
    <w:name w:val="标准文件_文件名称"/>
    <w:basedOn w:val="1"/>
    <w:next w:val="1"/>
    <w:qFormat/>
    <w:uiPriority w:val="0"/>
    <w:pPr>
      <w:framePr w:w="9639" w:h="6976" w:hRule="exact" w:wrap="auto" w:vAnchor="page" w:hAnchor="page" w:y="6408"/>
      <w:widowControl/>
      <w:spacing w:line="700" w:lineRule="exact"/>
      <w:jc w:val="center"/>
    </w:pPr>
    <w:rPr>
      <w:rFonts w:ascii="黑体" w:hAnsi="黑体" w:eastAsia="黑体"/>
      <w:bCs/>
      <w:kern w:val="0"/>
      <w:sz w:val="52"/>
      <w:szCs w:val="20"/>
    </w:rPr>
  </w:style>
  <w:style w:type="paragraph" w:customStyle="1" w:styleId="3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36">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37">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kern w:val="0"/>
      <w:sz w:val="28"/>
      <w:szCs w:val="20"/>
    </w:rPr>
  </w:style>
  <w:style w:type="paragraph" w:customStyle="1" w:styleId="38">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w w:val="135"/>
      <w:kern w:val="0"/>
      <w:sz w:val="36"/>
      <w:szCs w:val="20"/>
    </w:rPr>
  </w:style>
  <w:style w:type="character" w:customStyle="1" w:styleId="39">
    <w:name w:val="发布"/>
    <w:qFormat/>
    <w:uiPriority w:val="0"/>
    <w:rPr>
      <w:rFonts w:ascii="黑体" w:eastAsia="黑体"/>
      <w:spacing w:val="85"/>
      <w:w w:val="100"/>
      <w:position w:val="3"/>
      <w:sz w:val="28"/>
      <w:szCs w:val="28"/>
    </w:rPr>
  </w:style>
  <w:style w:type="character" w:customStyle="1" w:styleId="40">
    <w:name w:val="前言标题 Char"/>
    <w:link w:val="41"/>
    <w:qFormat/>
    <w:uiPriority w:val="0"/>
    <w:rPr>
      <w:rFonts w:ascii="黑体" w:hAnsi="Times New Roman" w:eastAsia="黑体" w:cs="Times New Roman"/>
      <w:sz w:val="32"/>
      <w:lang w:val="en-US" w:eastAsia="zh-CN" w:bidi="ar-SA"/>
    </w:rPr>
  </w:style>
  <w:style w:type="paragraph" w:customStyle="1" w:styleId="41">
    <w:name w:val="前言标题"/>
    <w:next w:val="1"/>
    <w:link w:val="40"/>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2">
    <w:name w:val="ZW"/>
    <w:basedOn w:val="1"/>
    <w:qFormat/>
    <w:uiPriority w:val="0"/>
    <w:pPr>
      <w:ind w:firstLine="1148" w:firstLineChars="200"/>
    </w:pPr>
    <w:rPr>
      <w:rFonts w:ascii="Times New Roman" w:hAnsi="Times New Roman"/>
    </w:rPr>
  </w:style>
  <w:style w:type="paragraph" w:customStyle="1" w:styleId="43">
    <w:name w:val="正文标题"/>
    <w:basedOn w:val="1"/>
    <w:qFormat/>
    <w:uiPriority w:val="0"/>
    <w:pPr>
      <w:spacing w:before="567" w:after="680"/>
      <w:jc w:val="center"/>
    </w:pPr>
    <w:rPr>
      <w:rFonts w:hint="eastAsia" w:ascii="Times New Roman" w:hAnsi="Times New Roman" w:eastAsia="黑体" w:cs="黑体"/>
      <w:w w:val="95"/>
      <w:sz w:val="32"/>
      <w:szCs w:val="32"/>
    </w:rPr>
  </w:style>
  <w:style w:type="paragraph" w:customStyle="1" w:styleId="4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4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46">
    <w:name w:val="标准文件_页眉偶数页"/>
    <w:basedOn w:val="45"/>
    <w:next w:val="1"/>
    <w:qFormat/>
    <w:uiPriority w:val="0"/>
    <w:pPr>
      <w:jc w:val="left"/>
    </w:pPr>
  </w:style>
  <w:style w:type="paragraph" w:customStyle="1" w:styleId="4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48">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49">
    <w:name w:val="标准文件_章标题"/>
    <w:next w:val="32"/>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0">
    <w:name w:val="标准文件_一级无标题"/>
    <w:basedOn w:val="51"/>
    <w:qFormat/>
    <w:uiPriority w:val="0"/>
    <w:pPr>
      <w:spacing w:before="0" w:beforeLines="0" w:after="0" w:afterLines="0"/>
      <w:outlineLvl w:val="9"/>
    </w:pPr>
    <w:rPr>
      <w:rFonts w:ascii="宋体" w:eastAsia="宋体"/>
    </w:rPr>
  </w:style>
  <w:style w:type="paragraph" w:customStyle="1" w:styleId="51">
    <w:name w:val="标准文件_一级条标题"/>
    <w:basedOn w:val="49"/>
    <w:next w:val="32"/>
    <w:qFormat/>
    <w:uiPriority w:val="0"/>
    <w:pPr>
      <w:numPr>
        <w:ilvl w:val="2"/>
      </w:numPr>
      <w:spacing w:before="50" w:beforeLines="50" w:after="50" w:afterLines="50"/>
      <w:outlineLvl w:val="1"/>
    </w:pPr>
  </w:style>
  <w:style w:type="character" w:customStyle="1" w:styleId="52">
    <w:name w:val="font41"/>
    <w:qFormat/>
    <w:uiPriority w:val="0"/>
    <w:rPr>
      <w:rFonts w:hint="eastAsia" w:ascii="宋体" w:hAnsi="宋体" w:eastAsia="宋体" w:cs="宋体"/>
      <w:color w:val="000000"/>
      <w:sz w:val="16"/>
      <w:szCs w:val="16"/>
      <w:u w:val="none"/>
    </w:rPr>
  </w:style>
  <w:style w:type="character" w:customStyle="1" w:styleId="53">
    <w:name w:val="font21"/>
    <w:qFormat/>
    <w:uiPriority w:val="0"/>
    <w:rPr>
      <w:rFonts w:hint="eastAsia" w:ascii="仿宋" w:hAnsi="仿宋" w:eastAsia="仿宋" w:cs="仿宋"/>
      <w:color w:val="000000"/>
      <w:sz w:val="16"/>
      <w:szCs w:val="16"/>
      <w:u w:val="none"/>
    </w:rPr>
  </w:style>
  <w:style w:type="character" w:customStyle="1" w:styleId="54">
    <w:name w:val="font51"/>
    <w:qFormat/>
    <w:uiPriority w:val="0"/>
    <w:rPr>
      <w:rFonts w:hint="eastAsia" w:ascii="宋体" w:hAnsi="宋体" w:eastAsia="宋体" w:cs="宋体"/>
      <w:color w:val="000000"/>
      <w:sz w:val="16"/>
      <w:szCs w:val="16"/>
      <w:u w:val="none"/>
    </w:rPr>
  </w:style>
  <w:style w:type="character" w:customStyle="1" w:styleId="55">
    <w:name w:val="font31"/>
    <w:qFormat/>
    <w:uiPriority w:val="0"/>
    <w:rPr>
      <w:rFonts w:hint="eastAsia" w:ascii="仿宋" w:hAnsi="仿宋" w:eastAsia="仿宋" w:cs="仿宋"/>
      <w:color w:val="000000"/>
      <w:sz w:val="16"/>
      <w:szCs w:val="16"/>
      <w:u w:val="none"/>
    </w:rPr>
  </w:style>
  <w:style w:type="paragraph" w:customStyle="1" w:styleId="56">
    <w:name w:val="书稿正文"/>
    <w:basedOn w:val="1"/>
    <w:qFormat/>
    <w:uiPriority w:val="0"/>
    <w:pPr>
      <w:spacing w:line="360" w:lineRule="auto"/>
      <w:ind w:firstLine="480" w:firstLineChars="200"/>
    </w:pPr>
    <w:rPr>
      <w:rFonts w:hint="eastAsia" w:ascii="Times New Roman" w:hAnsi="Times New Roman" w:eastAsia="宋体" w:cs="Times New Roman"/>
      <w:color w:val="000000"/>
      <w:sz w:val="24"/>
    </w:rPr>
  </w:style>
  <w:style w:type="paragraph" w:customStyle="1" w:styleId="57">
    <w:name w:val="标准文件_二级无标题"/>
    <w:basedOn w:val="58"/>
    <w:qFormat/>
    <w:uiPriority w:val="0"/>
    <w:pPr>
      <w:spacing w:before="0" w:beforeLines="0" w:after="0" w:afterLines="0"/>
      <w:outlineLvl w:val="9"/>
    </w:pPr>
    <w:rPr>
      <w:rFonts w:ascii="宋体" w:eastAsia="宋体"/>
    </w:rPr>
  </w:style>
  <w:style w:type="paragraph" w:customStyle="1" w:styleId="58">
    <w:name w:val="标准文件_二级条标题"/>
    <w:next w:val="32"/>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59">
    <w:name w:val="font61"/>
    <w:qFormat/>
    <w:uiPriority w:val="0"/>
    <w:rPr>
      <w:rFonts w:ascii="宋体" w:hAnsi="宋体" w:eastAsia="宋体" w:cs="宋体"/>
      <w:b/>
      <w:bCs/>
      <w:color w:val="000000"/>
      <w:sz w:val="22"/>
      <w:szCs w:val="22"/>
      <w:u w:val="none"/>
    </w:rPr>
  </w:style>
  <w:style w:type="paragraph" w:customStyle="1" w:styleId="60">
    <w:name w:val="样式 正文 + 首行缩进:  2 字符"/>
    <w:basedOn w:val="1"/>
    <w:qFormat/>
    <w:uiPriority w:val="0"/>
    <w:pPr>
      <w:spacing w:line="360" w:lineRule="auto"/>
      <w:ind w:firstLine="880" w:firstLineChars="200"/>
      <w:jc w:val="left"/>
    </w:pPr>
    <w:rPr>
      <w:rFonts w:ascii="宋体" w:hAnsi="宋体"/>
      <w:kern w:val="0"/>
    </w:rPr>
  </w:style>
  <w:style w:type="paragraph" w:customStyle="1" w:styleId="6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62">
    <w:name w:val="标准文件_前言、引言标题"/>
    <w:next w:val="1"/>
    <w:qFormat/>
    <w:uiPriority w:val="0"/>
    <w:pPr>
      <w:numPr>
        <w:ilvl w:val="0"/>
        <w:numId w:val="2"/>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63">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64">
    <w:name w:val="标准文件_术语条一"/>
    <w:basedOn w:val="50"/>
    <w:next w:val="32"/>
    <w:qFormat/>
    <w:uiPriority w:val="0"/>
  </w:style>
  <w:style w:type="paragraph" w:customStyle="1" w:styleId="65">
    <w:name w:val="标准文件_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66">
    <w:name w:val="标准文件_三级无标题"/>
    <w:basedOn w:val="67"/>
    <w:qFormat/>
    <w:uiPriority w:val="0"/>
    <w:pPr>
      <w:spacing w:before="0" w:beforeLines="0" w:after="0" w:afterLines="0"/>
      <w:outlineLvl w:val="9"/>
    </w:pPr>
    <w:rPr>
      <w:rFonts w:ascii="宋体" w:eastAsia="宋体"/>
    </w:rPr>
  </w:style>
  <w:style w:type="paragraph" w:customStyle="1" w:styleId="67">
    <w:name w:val="标准文件_三级条标题"/>
    <w:basedOn w:val="58"/>
    <w:next w:val="32"/>
    <w:qFormat/>
    <w:uiPriority w:val="0"/>
    <w:pPr>
      <w:widowControl/>
      <w:numPr>
        <w:ilvl w:val="4"/>
      </w:numPr>
      <w:outlineLvl w:val="3"/>
    </w:pPr>
  </w:style>
  <w:style w:type="paragraph" w:customStyle="1" w:styleId="68">
    <w:name w:val="标准文件_注："/>
    <w:next w:val="32"/>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 w:type="paragraph" w:customStyle="1" w:styleId="69">
    <w:name w:val="标准文件_附录标识"/>
    <w:next w:val="32"/>
    <w:qFormat/>
    <w:uiPriority w:val="0"/>
    <w:pPr>
      <w:numPr>
        <w:ilvl w:val="0"/>
        <w:numId w:val="5"/>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0">
    <w:name w:val="标准文件_附录表标题"/>
    <w:next w:val="32"/>
    <w:qFormat/>
    <w:uiPriority w:val="0"/>
    <w:pPr>
      <w:numPr>
        <w:ilvl w:val="1"/>
        <w:numId w:val="6"/>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1">
    <w:name w:val="标准文件_表格"/>
    <w:basedOn w:val="32"/>
    <w:qFormat/>
    <w:uiPriority w:val="0"/>
    <w:pPr>
      <w:ind w:firstLine="0" w:firstLineChars="0"/>
      <w:jc w:val="center"/>
    </w:pPr>
    <w:rPr>
      <w:sz w:val="18"/>
    </w:rPr>
  </w:style>
  <w:style w:type="paragraph" w:customStyle="1" w:styleId="72">
    <w:name w:val="Table Text"/>
    <w:basedOn w:val="1"/>
    <w:semiHidden/>
    <w:qFormat/>
    <w:uiPriority w:val="0"/>
    <w:pPr>
      <w:jc w:val="center"/>
    </w:pPr>
    <w:rPr>
      <w:rFonts w:ascii="宋体" w:hAnsi="宋体" w:cs="宋体"/>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80323</Words>
  <Characters>83004</Characters>
  <Lines>312</Lines>
  <Paragraphs>87</Paragraphs>
  <TotalTime>0</TotalTime>
  <ScaleCrop>false</ScaleCrop>
  <LinksUpToDate>false</LinksUpToDate>
  <CharactersWithSpaces>83900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2026-05-29T05:03:00Z</dcterms:created>
  <dc:creator>Un-named</dc:creator>
  <cp:lastModifiedBy>jishubu</cp:lastModifiedBy>
  <dcterms:modified xsi:type="dcterms:W3CDTF">2026-09-03T01:13:43Z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C5FE30E5A62D42649B4B96F0EEC17FF2_13</vt:lpwstr>
  </property>
  <property fmtid="{D5CDD505-2E9C-101B-9397-08002B2CF9AE}" pid="4" name="KSOTemplateDocerSaveRecord">
    <vt:lpwstr>eyJoZGlkIjoiYWNmNjg0MWQ2ZTI1ZDY0MjU4ZWEwNTI3YjI3NTQ3ZmUiLCJ1c2VySWQiOiIxMjEwMTI1MDE1In0=</vt:lpwstr>
  </property>
</Properties>
</file>